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480"/>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临沂</w:t>
      </w:r>
      <w:r>
        <w:rPr>
          <w:rFonts w:hint="eastAsia" w:asciiTheme="minorEastAsia" w:hAnsiTheme="minorEastAsia" w:eastAsiaTheme="minorEastAsia" w:cstheme="minorEastAsia"/>
          <w:b/>
          <w:bCs/>
          <w:sz w:val="30"/>
          <w:szCs w:val="30"/>
          <w:lang w:val="en-US" w:eastAsia="zh-CN"/>
        </w:rPr>
        <w:t>周兴建材有限公司</w:t>
      </w:r>
    </w:p>
    <w:p>
      <w:pPr>
        <w:spacing w:line="0" w:lineRule="atLeast"/>
        <w:ind w:left="480"/>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生产加工石膏贴面板</w:t>
      </w:r>
      <w:r>
        <w:rPr>
          <w:rFonts w:hint="eastAsia" w:ascii="Times New Roman" w:hAnsi="Times New Roman" w:cs="Times New Roman"/>
          <w:b/>
          <w:bCs/>
          <w:sz w:val="30"/>
          <w:szCs w:val="30"/>
          <w:lang w:eastAsia="zh-CN"/>
        </w:rPr>
        <w:t>、</w:t>
      </w:r>
      <w:r>
        <w:rPr>
          <w:rFonts w:hint="eastAsia" w:asciiTheme="minorEastAsia" w:hAnsiTheme="minorEastAsia" w:eastAsiaTheme="minorEastAsia" w:cstheme="minorEastAsia"/>
          <w:b/>
          <w:bCs/>
          <w:sz w:val="30"/>
          <w:szCs w:val="30"/>
          <w:lang w:val="en-US" w:eastAsia="zh-CN"/>
        </w:rPr>
        <w:t>石膏</w:t>
      </w:r>
      <w:r>
        <w:rPr>
          <w:rFonts w:hint="eastAsia" w:asciiTheme="minorEastAsia" w:hAnsiTheme="minorEastAsia" w:eastAsiaTheme="minorEastAsia" w:cstheme="minorEastAsia"/>
          <w:b/>
          <w:bCs/>
          <w:sz w:val="30"/>
          <w:szCs w:val="30"/>
          <w:lang w:eastAsia="zh-CN"/>
        </w:rPr>
        <w:t>石膏制品和机械加工</w:t>
      </w:r>
      <w:r>
        <w:rPr>
          <w:rFonts w:hint="eastAsia" w:asciiTheme="minorEastAsia" w:hAnsiTheme="minorEastAsia" w:eastAsiaTheme="minorEastAsia" w:cstheme="minorEastAsia"/>
          <w:b/>
          <w:bCs/>
          <w:sz w:val="30"/>
          <w:szCs w:val="30"/>
        </w:rPr>
        <w:t>项目</w:t>
      </w:r>
    </w:p>
    <w:p>
      <w:pPr>
        <w:spacing w:line="0" w:lineRule="atLeast"/>
        <w:ind w:left="148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竣工环境保护验收工作其他需要说明的事项</w:t>
      </w:r>
    </w:p>
    <w:p>
      <w:pPr>
        <w:spacing w:line="0" w:lineRule="atLeast"/>
        <w:ind w:left="1480"/>
        <w:jc w:val="center"/>
        <w:rPr>
          <w:rFonts w:hint="eastAsia" w:asciiTheme="minorEastAsia" w:hAnsiTheme="minorEastAsia" w:eastAsiaTheme="minorEastAsia" w:cstheme="minorEastAsia"/>
          <w:b/>
          <w:bCs/>
          <w:sz w:val="30"/>
          <w:szCs w:val="30"/>
        </w:rPr>
      </w:pP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line="240" w:lineRule="auto"/>
        <w:ind w:left="0" w:leftChars="0" w:right="0" w:rightChars="0" w:firstLine="602" w:firstLineChars="200"/>
        <w:jc w:val="left"/>
        <w:textAlignment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验收情况简介</w:t>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Chars="200" w:right="0" w:rightChars="0" w:firstLine="482" w:firstLineChars="200"/>
        <w:jc w:val="left"/>
        <w:textAlignment w:val="center"/>
        <w:rPr>
          <w:rFonts w:hint="eastAsia" w:asciiTheme="minorEastAsia" w:hAnsiTheme="minorEastAsia" w:eastAsiaTheme="minorEastAsia" w:cstheme="minorEastAsia"/>
          <w:b/>
          <w:bCs/>
          <w:sz w:val="24"/>
          <w:szCs w:val="24"/>
          <w:lang w:eastAsia="zh-CN"/>
        </w:rPr>
      </w:pPr>
    </w:p>
    <w:p>
      <w:pPr>
        <w:keepNext w:val="0"/>
        <w:keepLines w:val="0"/>
        <w:pageBreakBefore w:val="0"/>
        <w:widowControl/>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临沂周兴建材有限公司生产加工石膏贴面板、石膏制品和机械加工项目位于临沂国家高新技术产业开发区罗西街道朱隆工业园</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该项目总占地面积19343平方米，总投资150万元，其中环保投资19万元。</w:t>
      </w:r>
      <w:r>
        <w:rPr>
          <w:rFonts w:hint="eastAsia" w:asciiTheme="minorEastAsia" w:hAnsiTheme="minorEastAsia" w:eastAsiaTheme="minorEastAsia" w:cstheme="minorEastAsia"/>
          <w:b w:val="0"/>
          <w:bCs w:val="0"/>
          <w:sz w:val="24"/>
          <w:szCs w:val="24"/>
          <w:lang w:eastAsia="zh-CN"/>
        </w:rPr>
        <w:t>本</w:t>
      </w:r>
      <w:r>
        <w:rPr>
          <w:rFonts w:hint="eastAsia" w:asciiTheme="minorEastAsia" w:hAnsiTheme="minorEastAsia" w:eastAsiaTheme="minorEastAsia" w:cstheme="minorEastAsia"/>
          <w:b w:val="0"/>
          <w:bCs w:val="0"/>
          <w:sz w:val="24"/>
          <w:szCs w:val="24"/>
        </w:rPr>
        <w:t>项目属于未批先建项目，201</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 xml:space="preserve"> 年 </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月开工建设，201</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 xml:space="preserve"> 年 </w:t>
      </w: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rPr>
        <w:t xml:space="preserve"> 月建设完成。</w:t>
      </w:r>
      <w:r>
        <w:rPr>
          <w:rFonts w:hint="eastAsia" w:asciiTheme="minorEastAsia" w:hAnsiTheme="minorEastAsia" w:eastAsiaTheme="minorEastAsia" w:cstheme="minorEastAsia"/>
          <w:sz w:val="24"/>
          <w:szCs w:val="24"/>
          <w:lang w:eastAsia="zh-CN"/>
        </w:rPr>
        <w:t>建设单位</w:t>
      </w:r>
      <w:r>
        <w:rPr>
          <w:rFonts w:hint="eastAsia" w:asciiTheme="minorEastAsia" w:hAnsiTheme="minorEastAsia" w:eastAsiaTheme="minorEastAsia" w:cstheme="minorEastAsia"/>
          <w:sz w:val="24"/>
          <w:szCs w:val="24"/>
        </w:rPr>
        <w:t>于201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月委托</w:t>
      </w:r>
      <w:r>
        <w:rPr>
          <w:rFonts w:hint="eastAsia" w:asciiTheme="minorEastAsia" w:hAnsiTheme="minorEastAsia" w:eastAsiaTheme="minorEastAsia" w:cstheme="minorEastAsia"/>
          <w:sz w:val="24"/>
          <w:szCs w:val="24"/>
          <w:lang w:eastAsia="zh-CN"/>
        </w:rPr>
        <w:t>宁夏华之洁环境技术有限公司</w:t>
      </w:r>
      <w:r>
        <w:rPr>
          <w:rFonts w:hint="eastAsia" w:asciiTheme="minorEastAsia" w:hAnsiTheme="minorEastAsia" w:eastAsiaTheme="minorEastAsia" w:cstheme="minorEastAsia"/>
          <w:sz w:val="24"/>
          <w:szCs w:val="24"/>
        </w:rPr>
        <w:t>编制了《</w:t>
      </w:r>
      <w:r>
        <w:rPr>
          <w:rFonts w:hint="eastAsia" w:asciiTheme="minorEastAsia" w:hAnsiTheme="minorEastAsia" w:eastAsiaTheme="minorEastAsia" w:cstheme="minorEastAsia"/>
          <w:sz w:val="24"/>
          <w:szCs w:val="24"/>
          <w:lang w:eastAsia="zh-CN"/>
        </w:rPr>
        <w:t>临沂周兴建材有限公司生产加工石膏贴面板、石膏制品和机械加工项目</w:t>
      </w:r>
      <w:r>
        <w:rPr>
          <w:rFonts w:hint="eastAsia" w:asciiTheme="minorEastAsia" w:hAnsiTheme="minorEastAsia" w:eastAsiaTheme="minorEastAsia" w:cstheme="minorEastAsia"/>
          <w:sz w:val="24"/>
          <w:szCs w:val="24"/>
        </w:rPr>
        <w:t>环境影响报告表》，</w:t>
      </w:r>
      <w:r>
        <w:rPr>
          <w:rFonts w:hint="eastAsia" w:asciiTheme="minorEastAsia" w:hAnsiTheme="minorEastAsia" w:eastAsiaTheme="minorEastAsia" w:cstheme="minorEastAsia"/>
          <w:sz w:val="24"/>
          <w:szCs w:val="24"/>
          <w:lang w:eastAsia="zh-CN"/>
        </w:rPr>
        <w:t>临沂市环境保护局高新技术产业开发区分局</w:t>
      </w:r>
      <w:r>
        <w:rPr>
          <w:rFonts w:hint="eastAsia" w:asciiTheme="minorEastAsia" w:hAnsiTheme="minorEastAsia" w:eastAsiaTheme="minorEastAsia" w:cstheme="minorEastAsia"/>
          <w:sz w:val="24"/>
          <w:szCs w:val="24"/>
        </w:rPr>
        <w:t>于</w:t>
      </w:r>
      <w:r>
        <w:rPr>
          <w:rFonts w:hint="eastAsia" w:asciiTheme="minorEastAsia" w:hAnsiTheme="minorEastAsia" w:eastAsiaTheme="minorEastAsia" w:cstheme="minorEastAsia"/>
          <w:sz w:val="24"/>
          <w:szCs w:val="24"/>
          <w:lang w:eastAsia="zh-CN"/>
        </w:rPr>
        <w:t>2017年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月1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rPr>
        <w:t>予以批复，批复文件号为</w:t>
      </w:r>
      <w:r>
        <w:rPr>
          <w:rFonts w:hint="eastAsia" w:asciiTheme="minorEastAsia" w:hAnsiTheme="minorEastAsia" w:eastAsiaTheme="minorEastAsia" w:cstheme="minorEastAsia"/>
          <w:sz w:val="24"/>
          <w:szCs w:val="24"/>
          <w:lang w:eastAsia="zh-CN"/>
        </w:rPr>
        <w:t>临环高表[</w:t>
      </w:r>
      <w:r>
        <w:rPr>
          <w:rFonts w:hint="eastAsia" w:asciiTheme="minorEastAsia" w:hAnsiTheme="minorEastAsia" w:eastAsiaTheme="minorEastAsia" w:cstheme="minorEastAsia"/>
          <w:color w:val="auto"/>
          <w:sz w:val="24"/>
          <w:szCs w:val="24"/>
          <w:lang w:eastAsia="zh-CN"/>
        </w:rPr>
        <w:t>2017]62号。</w:t>
      </w:r>
      <w:r>
        <w:rPr>
          <w:rFonts w:hint="eastAsia" w:asciiTheme="minorEastAsia" w:hAnsiTheme="minorEastAsia" w:eastAsiaTheme="minorEastAsia" w:cstheme="minorEastAsia"/>
          <w:sz w:val="24"/>
          <w:szCs w:val="24"/>
        </w:rPr>
        <w:t>2017年12月，</w:t>
      </w:r>
      <w:r>
        <w:rPr>
          <w:rFonts w:hint="eastAsia" w:asciiTheme="minorEastAsia" w:hAnsiTheme="minorEastAsia" w:eastAsiaTheme="minorEastAsia" w:cstheme="minorEastAsia"/>
          <w:sz w:val="24"/>
          <w:szCs w:val="24"/>
          <w:lang w:eastAsia="zh-CN"/>
        </w:rPr>
        <w:t>受建设单位</w:t>
      </w:r>
      <w:r>
        <w:rPr>
          <w:rFonts w:hint="eastAsia" w:asciiTheme="minorEastAsia" w:hAnsiTheme="minorEastAsia" w:eastAsiaTheme="minorEastAsia" w:cstheme="minorEastAsia"/>
          <w:sz w:val="24"/>
          <w:szCs w:val="24"/>
        </w:rPr>
        <w:t>委托，山东元通监测有限公司承担了该项目的环境保护设施竣工验收监测工作</w:t>
      </w:r>
      <w:r>
        <w:rPr>
          <w:rFonts w:hint="eastAsia" w:asciiTheme="minorEastAsia" w:hAnsiTheme="minorEastAsia" w:eastAsiaTheme="minorEastAsia" w:cstheme="minorEastAsia"/>
          <w:sz w:val="24"/>
          <w:szCs w:val="24"/>
          <w:lang w:eastAsia="zh-CN"/>
        </w:rPr>
        <w:t>，并</w:t>
      </w:r>
      <w:r>
        <w:rPr>
          <w:rFonts w:hint="eastAsia" w:asciiTheme="minorEastAsia" w:hAnsiTheme="minorEastAsia" w:eastAsiaTheme="minorEastAsia" w:cstheme="minorEastAsia"/>
          <w:sz w:val="24"/>
          <w:szCs w:val="24"/>
        </w:rPr>
        <w:t>于2017年12月21日至22日对该项目进行了现场监测和环境管理检查，在此基础上编制了验收监测报告</w:t>
      </w:r>
      <w:r>
        <w:rPr>
          <w:rFonts w:hint="eastAsia" w:asciiTheme="minorEastAsia" w:hAnsiTheme="minorEastAsia" w:eastAsiaTheme="minorEastAsia" w:cstheme="minorEastAsia"/>
          <w:sz w:val="24"/>
          <w:szCs w:val="24"/>
          <w:lang w:eastAsia="zh-CN"/>
        </w:rPr>
        <w:t>表</w:t>
      </w:r>
      <w:r>
        <w:rPr>
          <w:rFonts w:hint="eastAsia" w:asciiTheme="minorEastAsia" w:hAnsiTheme="minorEastAsia" w:eastAsiaTheme="minorEastAsia" w:cstheme="minorEastAsia"/>
          <w:sz w:val="24"/>
          <w:szCs w:val="24"/>
        </w:rPr>
        <w:t>。</w:t>
      </w:r>
    </w:p>
    <w:p>
      <w:pPr>
        <w:keepNext w:val="0"/>
        <w:keepLines w:val="0"/>
        <w:pageBreakBefore w:val="0"/>
        <w:widowControl/>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2018年1月28日，</w:t>
      </w:r>
      <w:r>
        <w:rPr>
          <w:rFonts w:hint="eastAsia" w:asciiTheme="minorEastAsia" w:hAnsiTheme="minorEastAsia" w:eastAsiaTheme="minorEastAsia" w:cstheme="minorEastAsia"/>
          <w:sz w:val="24"/>
          <w:szCs w:val="24"/>
        </w:rPr>
        <w:t>临沂周兴建材有限公司</w:t>
      </w:r>
      <w:r>
        <w:rPr>
          <w:rFonts w:hint="eastAsia" w:asciiTheme="minorEastAsia" w:hAnsiTheme="minorEastAsia" w:eastAsiaTheme="minorEastAsia" w:cstheme="minorEastAsia"/>
          <w:sz w:val="24"/>
          <w:szCs w:val="24"/>
          <w:lang w:eastAsia="zh-CN"/>
        </w:rPr>
        <w:t>组织了“</w:t>
      </w:r>
      <w:r>
        <w:rPr>
          <w:rFonts w:hint="eastAsia" w:asciiTheme="minorEastAsia" w:hAnsiTheme="minorEastAsia" w:eastAsiaTheme="minorEastAsia" w:cstheme="minorEastAsia"/>
          <w:sz w:val="24"/>
          <w:szCs w:val="24"/>
        </w:rPr>
        <w:t>临沂周兴建材有限公司生产加工石膏贴面板、石膏制品和机械加工项目竣工环境保护验收现场检查会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。参加现场检查的有</w:t>
      </w:r>
      <w:r>
        <w:rPr>
          <w:rFonts w:hint="eastAsia" w:asciiTheme="minorEastAsia" w:hAnsiTheme="minorEastAsia" w:eastAsiaTheme="minorEastAsia" w:cstheme="minorEastAsia"/>
          <w:color w:val="auto"/>
          <w:sz w:val="24"/>
          <w:szCs w:val="24"/>
          <w:lang w:eastAsia="zh-CN"/>
        </w:rPr>
        <w:t>环评单位</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sz w:val="24"/>
          <w:szCs w:val="24"/>
          <w:lang w:eastAsia="zh-CN"/>
        </w:rPr>
        <w:t>宁夏华之洁环境技术有限公司</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验收监测单位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山东元通监测有限公司、</w:t>
      </w:r>
      <w:r>
        <w:rPr>
          <w:rFonts w:hint="eastAsia" w:asciiTheme="minorEastAsia" w:hAnsiTheme="minorEastAsia" w:eastAsiaTheme="minorEastAsia" w:cstheme="minorEastAsia"/>
          <w:sz w:val="24"/>
          <w:szCs w:val="24"/>
          <w:lang w:eastAsia="zh-CN"/>
        </w:rPr>
        <w:t>施工单位</w:t>
      </w:r>
      <w:r>
        <w:rPr>
          <w:rFonts w:hint="eastAsia" w:asciiTheme="minorEastAsia" w:hAnsiTheme="minorEastAsia" w:eastAsiaTheme="minorEastAsia" w:cstheme="minorEastAsia"/>
          <w:sz w:val="24"/>
          <w:szCs w:val="24"/>
          <w:lang w:val="en-US" w:eastAsia="zh-CN"/>
        </w:rPr>
        <w:t>--山东智邦环境工程有限公司</w:t>
      </w:r>
      <w:r>
        <w:rPr>
          <w:rFonts w:hint="eastAsia" w:asciiTheme="minorEastAsia" w:hAnsiTheme="minorEastAsia" w:eastAsiaTheme="minorEastAsia" w:cstheme="minorEastAsia"/>
          <w:sz w:val="24"/>
          <w:szCs w:val="24"/>
          <w:lang w:eastAsia="zh-CN"/>
        </w:rPr>
        <w:t>和特邀的</w:t>
      </w:r>
      <w:r>
        <w:rPr>
          <w:rFonts w:hint="eastAsia" w:asciiTheme="minorEastAsia" w:hAnsiTheme="minorEastAsia" w:eastAsiaTheme="minorEastAsia" w:cstheme="minorEastAsia"/>
          <w:sz w:val="24"/>
          <w:szCs w:val="24"/>
          <w:lang w:val="en-US" w:eastAsia="zh-CN"/>
        </w:rPr>
        <w:t>3名专业技术专家。</w:t>
      </w:r>
      <w:r>
        <w:rPr>
          <w:rFonts w:hint="eastAsia" w:asciiTheme="minorEastAsia" w:hAnsiTheme="minorEastAsia" w:eastAsiaTheme="minorEastAsia" w:cstheme="minorEastAsia"/>
          <w:sz w:val="24"/>
          <w:szCs w:val="24"/>
        </w:rPr>
        <w:t>验收会成立了项目竣工环境保护验收工作组（名单附后），</w:t>
      </w:r>
      <w:r>
        <w:rPr>
          <w:rFonts w:hint="eastAsia" w:asciiTheme="minorEastAsia" w:hAnsiTheme="minorEastAsia" w:eastAsiaTheme="minorEastAsia" w:cstheme="minorEastAsia"/>
          <w:sz w:val="24"/>
          <w:szCs w:val="24"/>
          <w:lang w:eastAsia="zh-CN"/>
        </w:rPr>
        <w:t>与会专家和代表踏勘了现场，听取了建设单位对项目进展情况、检测及验收报告编制单位对检测报告、验收报告的详细介绍，经认真讨论，</w:t>
      </w:r>
      <w:r>
        <w:rPr>
          <w:rFonts w:hint="eastAsia" w:asciiTheme="minorEastAsia" w:hAnsiTheme="minorEastAsia" w:eastAsiaTheme="minorEastAsia" w:cstheme="minorEastAsia"/>
          <w:sz w:val="24"/>
          <w:szCs w:val="24"/>
          <w:lang w:val="en-US" w:eastAsia="zh-CN"/>
        </w:rPr>
        <w:t>形成</w:t>
      </w:r>
      <w:r>
        <w:rPr>
          <w:rFonts w:hint="eastAsia" w:asciiTheme="minorEastAsia" w:hAnsiTheme="minorEastAsia" w:eastAsiaTheme="minorEastAsia" w:cstheme="minorEastAsia"/>
          <w:sz w:val="24"/>
          <w:szCs w:val="24"/>
          <w:lang w:eastAsia="zh-CN"/>
        </w:rPr>
        <w:t>验收意见如下：</w:t>
      </w:r>
    </w:p>
    <w:p>
      <w:pPr>
        <w:keepNext w:val="0"/>
        <w:keepLines w:val="0"/>
        <w:pageBreakBefore w:val="0"/>
        <w:widowControl/>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lang w:val="en-US" w:eastAsia="zh-CN"/>
        </w:rPr>
        <w:t>本项目落实了配套建设的环境保护设施与主体工程同时设计、同时施工、同时投入使用的</w:t>
      </w:r>
      <w:r>
        <w:rPr>
          <w:rFonts w:hint="eastAsia" w:asciiTheme="minorEastAsia" w:hAnsiTheme="minorEastAsia" w:eastAsiaTheme="minorEastAsia" w:cstheme="minorEastAsia"/>
          <w:color w:val="auto"/>
          <w:sz w:val="24"/>
          <w:szCs w:val="24"/>
          <w:highlight w:val="none"/>
          <w:lang w:eastAsia="zh-CN"/>
        </w:rPr>
        <w:t>“三同时”制度</w:t>
      </w:r>
      <w:r>
        <w:rPr>
          <w:rFonts w:hint="eastAsia" w:asciiTheme="minorEastAsia" w:hAnsiTheme="minorEastAsia" w:eastAsiaTheme="minorEastAsia" w:cstheme="minorEastAsia"/>
          <w:sz w:val="24"/>
          <w:szCs w:val="24"/>
        </w:rPr>
        <w:t>。</w:t>
      </w:r>
    </w:p>
    <w:p>
      <w:pPr>
        <w:keepNext w:val="0"/>
        <w:keepLines w:val="0"/>
        <w:pageBreakBefore w:val="0"/>
        <w:widowControl/>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根据现场检查与验收检测结果，该项目可以通过竣工环境保护验收。</w:t>
      </w:r>
    </w:p>
    <w:p>
      <w:pPr>
        <w:keepNext w:val="0"/>
        <w:keepLines w:val="0"/>
        <w:pageBreakBefore w:val="0"/>
        <w:widowControl/>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outlineLvl w:val="9"/>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numPr>
          <w:ilvl w:val="0"/>
          <w:numId w:val="2"/>
        </w:numPr>
        <w:kinsoku/>
        <w:wordWrap/>
        <w:overflowPunct/>
        <w:topLinePunct w:val="0"/>
        <w:autoSpaceDE/>
        <w:autoSpaceDN/>
        <w:bidi w:val="0"/>
        <w:adjustRightInd w:val="0"/>
        <w:snapToGrid w:val="0"/>
        <w:spacing w:before="157" w:beforeLines="50" w:line="240" w:lineRule="auto"/>
        <w:ind w:left="0" w:leftChars="0" w:right="0" w:rightChars="0" w:firstLine="602" w:firstLineChars="200"/>
        <w:jc w:val="left"/>
        <w:textAlignment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其他环境保护措施落实情况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Chars="200" w:right="0" w:rightChars="0" w:firstLine="482" w:firstLineChars="200"/>
        <w:jc w:val="left"/>
        <w:textAlignment w:val="center"/>
        <w:rPr>
          <w:rFonts w:hint="eastAsia" w:asciiTheme="minorEastAsia" w:hAnsiTheme="minorEastAsia" w:eastAsiaTheme="minorEastAsia" w:cstheme="minorEastAsia"/>
          <w:b/>
          <w:sz w:val="24"/>
          <w:szCs w:val="24"/>
        </w:rPr>
      </w:pPr>
    </w:p>
    <w:p>
      <w:pPr>
        <w:keepNext w:val="0"/>
        <w:keepLines w:val="0"/>
        <w:pageBreakBefore w:val="0"/>
        <w:widowControl/>
        <w:numPr>
          <w:ilvl w:val="0"/>
          <w:numId w:val="3"/>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加强环境管理力度，确保各环保设施正常运行，做到长期稳定达标排放。</w:t>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临沂周兴建材有限公司落实总经理负责制，并制定切合实际的环保管理制度，严格执行操作规程。</w:t>
      </w:r>
    </w:p>
    <w:p>
      <w:pPr>
        <w:keepNext w:val="0"/>
        <w:keepLines w:val="0"/>
        <w:pageBreakBefore w:val="0"/>
        <w:widowControl/>
        <w:numPr>
          <w:ilvl w:val="0"/>
          <w:numId w:val="3"/>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健全环境风险防范管理体系，制定规范的应急预案，加强应急演练工作，切实提高环境风险防范能力。</w:t>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sz w:val="24"/>
          <w:szCs w:val="24"/>
        </w:rPr>
        <w:t>企业制定了突发环境事件应急预</w:t>
      </w:r>
      <w:r>
        <w:rPr>
          <w:rFonts w:hint="eastAsia" w:asciiTheme="minorEastAsia" w:hAnsiTheme="minorEastAsia" w:eastAsiaTheme="minorEastAsia" w:cstheme="minorEastAsia"/>
          <w:sz w:val="24"/>
          <w:szCs w:val="24"/>
          <w:lang w:eastAsia="zh-CN"/>
        </w:rPr>
        <w:t>案，并配备消防措施，</w:t>
      </w:r>
      <w:r>
        <w:rPr>
          <w:rFonts w:hint="eastAsia" w:asciiTheme="minorEastAsia" w:hAnsiTheme="minorEastAsia" w:eastAsiaTheme="minorEastAsia" w:cstheme="minorEastAsia"/>
          <w:sz w:val="24"/>
          <w:szCs w:val="24"/>
        </w:rPr>
        <w:t>员工责任分工明确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确保安全生产</w:t>
      </w:r>
      <w:r>
        <w:rPr>
          <w:rFonts w:hint="eastAsia" w:asciiTheme="minorEastAsia" w:hAnsiTheme="minorEastAsia" w:eastAsiaTheme="minorEastAsia" w:cstheme="minorEastAsia"/>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sz w:val="24"/>
          <w:szCs w:val="24"/>
          <w:lang w:eastAsia="zh-CN"/>
        </w:rPr>
      </w:pPr>
    </w:p>
    <w:p>
      <w:pPr>
        <w:keepNext w:val="0"/>
        <w:keepLines w:val="0"/>
        <w:pageBreakBefore w:val="0"/>
        <w:widowControl/>
        <w:kinsoku/>
        <w:wordWrap/>
        <w:overflowPunct/>
        <w:topLinePunct w:val="0"/>
        <w:autoSpaceDE/>
        <w:autoSpaceDN/>
        <w:bidi w:val="0"/>
        <w:adjustRightInd w:val="0"/>
        <w:snapToGrid w:val="0"/>
        <w:spacing w:before="157" w:beforeLines="50" w:line="240" w:lineRule="auto"/>
        <w:ind w:left="0" w:leftChars="0" w:right="0" w:rightChars="0" w:firstLine="602" w:firstLineChars="200"/>
        <w:jc w:val="left"/>
        <w:textAlignment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三、整改工作落实情况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根据验收工作组提出的整改要求及建议，</w:t>
      </w:r>
      <w:r>
        <w:rPr>
          <w:rFonts w:hint="eastAsia" w:asciiTheme="minorEastAsia" w:hAnsiTheme="minorEastAsia" w:eastAsiaTheme="minorEastAsia" w:cstheme="minorEastAsia"/>
          <w:sz w:val="24"/>
          <w:szCs w:val="24"/>
          <w:lang w:eastAsia="zh-CN"/>
        </w:rPr>
        <w:t>建设单位</w:t>
      </w:r>
      <w:r>
        <w:rPr>
          <w:rFonts w:hint="eastAsia" w:asciiTheme="minorEastAsia" w:hAnsiTheme="minorEastAsia" w:eastAsiaTheme="minorEastAsia" w:cstheme="minorEastAsia"/>
          <w:sz w:val="24"/>
          <w:szCs w:val="24"/>
        </w:rPr>
        <w:t>已落实完成各项整改工作，具体整改落实情况如下：</w:t>
      </w:r>
    </w:p>
    <w:p>
      <w:pPr>
        <w:keepNext w:val="0"/>
        <w:keepLines w:val="0"/>
        <w:pageBreakBefore w:val="0"/>
        <w:widowControl/>
        <w:numPr>
          <w:ilvl w:val="0"/>
          <w:numId w:val="4"/>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企业已完善厂区危险废物收集、暂存、转运及处置等全过程的控制制度，建立了进出台账记录制度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drawing>
          <wp:inline distT="0" distB="0" distL="114300" distR="114300">
            <wp:extent cx="4491355" cy="5252085"/>
            <wp:effectExtent l="0" t="0" r="4445" b="5715"/>
            <wp:docPr id="4" name="图片 4" descr="30662324728090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06623247280905348"/>
                    <pic:cNvPicPr>
                      <a:picLocks noChangeAspect="1"/>
                    </pic:cNvPicPr>
                  </pic:nvPicPr>
                  <pic:blipFill>
                    <a:blip r:embed="rId4"/>
                    <a:stretch>
                      <a:fillRect/>
                    </a:stretch>
                  </pic:blipFill>
                  <pic:spPr>
                    <a:xfrm>
                      <a:off x="0" y="0"/>
                      <a:ext cx="4491355" cy="525208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Chars="200" w:right="0" w:rightChars="0"/>
        <w:jc w:val="lef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5273040" cy="7453630"/>
            <wp:effectExtent l="0" t="0" r="3810" b="13970"/>
            <wp:docPr id="1" name="图片 1" descr="3146297439338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4629743933819681"/>
                    <pic:cNvPicPr>
                      <a:picLocks noChangeAspect="1"/>
                    </pic:cNvPicPr>
                  </pic:nvPicPr>
                  <pic:blipFill>
                    <a:blip r:embed="rId5"/>
                    <a:stretch>
                      <a:fillRect/>
                    </a:stretch>
                  </pic:blipFill>
                  <pic:spPr>
                    <a:xfrm>
                      <a:off x="0" y="0"/>
                      <a:ext cx="5273040" cy="745363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rPr>
        <w:t>做好厂区空地规划，加快厂区空地硬化和绿化工作，尽量种植乔灌相结合的绿化带，减少无组织废气对周围环境的影响。</w:t>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drawing>
          <wp:inline distT="0" distB="0" distL="114300" distR="114300">
            <wp:extent cx="4772660" cy="3578860"/>
            <wp:effectExtent l="0" t="0" r="8890" b="2540"/>
            <wp:docPr id="5" name="图片 5" descr="87821613415637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78216134156372697"/>
                    <pic:cNvPicPr>
                      <a:picLocks noChangeAspect="1"/>
                    </pic:cNvPicPr>
                  </pic:nvPicPr>
                  <pic:blipFill>
                    <a:blip r:embed="rId6"/>
                    <a:stretch>
                      <a:fillRect/>
                    </a:stretch>
                  </pic:blipFill>
                  <pic:spPr>
                    <a:xfrm>
                      <a:off x="0" y="0"/>
                      <a:ext cx="4772660" cy="3578860"/>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eastAsia="zh-CN"/>
        </w:rPr>
        <w:drawing>
          <wp:inline distT="0" distB="0" distL="114300" distR="114300">
            <wp:extent cx="5086985" cy="3815080"/>
            <wp:effectExtent l="0" t="0" r="18415" b="13970"/>
            <wp:docPr id="6" name="图片 6" descr="10484441842392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4844418423925647"/>
                    <pic:cNvPicPr>
                      <a:picLocks noChangeAspect="1"/>
                    </pic:cNvPicPr>
                  </pic:nvPicPr>
                  <pic:blipFill>
                    <a:blip r:embed="rId7"/>
                    <a:stretch>
                      <a:fillRect/>
                    </a:stretch>
                  </pic:blipFill>
                  <pic:spPr>
                    <a:xfrm>
                      <a:off x="0" y="0"/>
                      <a:ext cx="5086985" cy="381508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rPr>
      </w:pPr>
    </w:p>
    <w:p>
      <w:pPr>
        <w:keepNext w:val="0"/>
        <w:keepLines w:val="0"/>
        <w:pageBreakBefore w:val="0"/>
        <w:widowControl/>
        <w:numPr>
          <w:numId w:val="0"/>
        </w:numPr>
        <w:kinsoku/>
        <w:wordWrap/>
        <w:overflowPunct/>
        <w:topLinePunct w:val="0"/>
        <w:autoSpaceDE/>
        <w:autoSpaceDN/>
        <w:bidi w:val="0"/>
        <w:adjustRightInd w:val="0"/>
        <w:snapToGrid w:val="0"/>
        <w:spacing w:before="157" w:beforeLines="50" w:line="240" w:lineRule="auto"/>
        <w:ind w:leftChars="200" w:right="0" w:rightChars="0" w:firstLine="240" w:firstLineChars="1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bookmarkStart w:id="0" w:name="_GoBack"/>
      <w:bookmarkEnd w:id="0"/>
      <w:r>
        <w:rPr>
          <w:rFonts w:hint="eastAsia" w:asciiTheme="minorEastAsia" w:hAnsiTheme="minorEastAsia" w:eastAsiaTheme="minorEastAsia" w:cstheme="minorEastAsia"/>
          <w:sz w:val="24"/>
          <w:szCs w:val="24"/>
        </w:rPr>
        <w:t>、企业落实项目公众参与平台，并主动接受社会监督。</w:t>
      </w:r>
    </w:p>
    <w:p>
      <w:pPr>
        <w:numPr>
          <w:ilvl w:val="0"/>
          <w:numId w:val="0"/>
        </w:numPr>
        <w:ind w:leftChars="50"/>
        <w:rPr>
          <w:rFonts w:hint="eastAsia"/>
          <w:color w:val="000000"/>
          <w:kern w:val="0"/>
          <w:szCs w:val="26"/>
        </w:rPr>
      </w:pPr>
    </w:p>
    <w:p>
      <w:pPr>
        <w:numPr>
          <w:ilvl w:val="0"/>
          <w:numId w:val="0"/>
        </w:numPr>
        <w:rPr>
          <w:rFonts w:hint="eastAsia" w:eastAsia="宋体"/>
          <w:color w:val="000000"/>
          <w:kern w:val="0"/>
          <w:szCs w:val="26"/>
          <w:lang w:val="en-US" w:eastAsia="zh-CN"/>
        </w:rPr>
      </w:pPr>
      <w:r>
        <w:rPr>
          <w:rFonts w:hint="eastAsia"/>
          <w:color w:val="000000"/>
          <w:kern w:val="0"/>
          <w:szCs w:val="26"/>
          <w:lang w:val="en-US" w:eastAsia="zh-CN"/>
        </w:rPr>
        <w:t xml:space="preserve">          </w:t>
      </w:r>
    </w:p>
    <w:p>
      <w:pPr>
        <w:numPr>
          <w:ilvl w:val="0"/>
          <w:numId w:val="0"/>
        </w:numPr>
        <w:ind w:leftChars="50"/>
        <w:rPr>
          <w:rFonts w:hint="eastAsia" w:eastAsia="宋体"/>
          <w:color w:val="000000"/>
          <w:kern w:val="0"/>
          <w:szCs w:val="26"/>
          <w:lang w:val="en-US" w:eastAsia="zh-CN"/>
        </w:rPr>
      </w:pPr>
    </w:p>
    <w:p>
      <w:pPr>
        <w:spacing w:line="0" w:lineRule="atLeast"/>
        <w:rPr>
          <w:rFonts w:hint="eastAsia" w:asciiTheme="minorEastAsia" w:hAnsiTheme="minorEastAsia" w:eastAsiaTheme="minorEastAsia" w:cstheme="min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50602020203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SnyderSpeed">
    <w:altName w:val="Courier New"/>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02F71"/>
    <w:multiLevelType w:val="singleLevel"/>
    <w:tmpl w:val="9C302F71"/>
    <w:lvl w:ilvl="0" w:tentative="0">
      <w:start w:val="1"/>
      <w:numFmt w:val="decimal"/>
      <w:suff w:val="nothing"/>
      <w:lvlText w:val="%1、"/>
      <w:lvlJc w:val="left"/>
    </w:lvl>
  </w:abstractNum>
  <w:abstractNum w:abstractNumId="1">
    <w:nsid w:val="AC8495FE"/>
    <w:multiLevelType w:val="singleLevel"/>
    <w:tmpl w:val="AC8495FE"/>
    <w:lvl w:ilvl="0" w:tentative="0">
      <w:start w:val="2"/>
      <w:numFmt w:val="chineseCounting"/>
      <w:suff w:val="nothing"/>
      <w:lvlText w:val="%1、"/>
      <w:lvlJc w:val="left"/>
      <w:rPr>
        <w:rFonts w:hint="eastAsia"/>
      </w:rPr>
    </w:lvl>
  </w:abstractNum>
  <w:abstractNum w:abstractNumId="2">
    <w:nsid w:val="C8FA21E0"/>
    <w:multiLevelType w:val="singleLevel"/>
    <w:tmpl w:val="C8FA21E0"/>
    <w:lvl w:ilvl="0" w:tentative="0">
      <w:start w:val="1"/>
      <w:numFmt w:val="decimal"/>
      <w:suff w:val="nothing"/>
      <w:lvlText w:val="%1、"/>
      <w:lvlJc w:val="left"/>
    </w:lvl>
  </w:abstractNum>
  <w:abstractNum w:abstractNumId="3">
    <w:nsid w:val="368C85A0"/>
    <w:multiLevelType w:val="singleLevel"/>
    <w:tmpl w:val="368C85A0"/>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E26D9"/>
    <w:rsid w:val="0A9E26D9"/>
    <w:rsid w:val="0B734781"/>
    <w:rsid w:val="0FED3F6F"/>
    <w:rsid w:val="18030493"/>
    <w:rsid w:val="1E074C35"/>
    <w:rsid w:val="205F407D"/>
    <w:rsid w:val="25F133DE"/>
    <w:rsid w:val="28606291"/>
    <w:rsid w:val="326A5B70"/>
    <w:rsid w:val="3430334B"/>
    <w:rsid w:val="354D24B9"/>
    <w:rsid w:val="35853B7D"/>
    <w:rsid w:val="37053307"/>
    <w:rsid w:val="394720E0"/>
    <w:rsid w:val="3C381E8C"/>
    <w:rsid w:val="3CE7130A"/>
    <w:rsid w:val="3D042BF8"/>
    <w:rsid w:val="3FCF0378"/>
    <w:rsid w:val="47F07FA1"/>
    <w:rsid w:val="4951531B"/>
    <w:rsid w:val="4C6A4488"/>
    <w:rsid w:val="59B91F31"/>
    <w:rsid w:val="5A790F53"/>
    <w:rsid w:val="5C95151C"/>
    <w:rsid w:val="5F2166CE"/>
    <w:rsid w:val="5FF864FA"/>
    <w:rsid w:val="61DA423E"/>
    <w:rsid w:val="61E3292D"/>
    <w:rsid w:val="692A7C6E"/>
    <w:rsid w:val="6B2D4B0D"/>
    <w:rsid w:val="77B56499"/>
    <w:rsid w:val="7B0A6B34"/>
    <w:rsid w:val="7C2757C4"/>
    <w:rsid w:val="7DF80288"/>
    <w:rsid w:val="7F377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2018-02-03T08:05:00Z</dcterms:created>
  <dc:creator>立志成功</dc:creator>
  <cp:lastModifiedBy>立志成功</cp:lastModifiedBy>
  <dcterms:modified xsi:type="dcterms:W3CDTF">2018-02-09T06:03:52Z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