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200" w:line="220" w:lineRule="atLeast"/>
        <w:jc w:val="left"/>
        <w:rPr>
          <w:rFonts w:asciiTheme="minorEastAsia" w:hAnsiTheme="minorEastAsia" w:cstheme="minorBidi"/>
          <w:kern w:val="0"/>
          <w:sz w:val="32"/>
        </w:rPr>
      </w:pPr>
    </w:p>
    <w:p>
      <w:pPr>
        <w:widowControl/>
        <w:spacing w:after="200" w:line="220" w:lineRule="atLeast"/>
        <w:jc w:val="left"/>
        <w:rPr>
          <w:rFonts w:asciiTheme="minorEastAsia" w:hAnsiTheme="minorEastAsia" w:cstheme="minorBidi"/>
          <w:kern w:val="0"/>
          <w:sz w:val="32"/>
        </w:rPr>
      </w:pPr>
    </w:p>
    <w:p>
      <w:pPr>
        <w:widowControl/>
        <w:jc w:val="center"/>
        <w:rPr>
          <w:rFonts w:ascii="黑体" w:hAnsi="黑体" w:eastAsia="黑体" w:cstheme="minorBidi"/>
          <w:kern w:val="0"/>
          <w:sz w:val="44"/>
        </w:rPr>
      </w:pPr>
      <w:r>
        <w:rPr>
          <w:rFonts w:ascii="黑体" w:hAnsi="黑体" w:eastAsia="黑体" w:cstheme="minorBidi"/>
          <w:kern w:val="0"/>
          <w:sz w:val="44"/>
        </w:rPr>
        <w:t>临沂周兴建材有限公司生产加工石膏贴面板、石膏制品和机械加工项目</w:t>
      </w:r>
      <w:r>
        <w:rPr>
          <w:rFonts w:hint="eastAsia" w:ascii="黑体" w:hAnsi="黑体" w:eastAsia="黑体" w:cstheme="minorBidi"/>
          <w:kern w:val="0"/>
          <w:sz w:val="44"/>
        </w:rPr>
        <w:t>竣工环境保护验收</w:t>
      </w:r>
    </w:p>
    <w:p>
      <w:pPr>
        <w:widowControl/>
        <w:jc w:val="center"/>
        <w:rPr>
          <w:rFonts w:ascii="黑体" w:hAnsi="黑体" w:eastAsia="黑体" w:cstheme="minorBidi"/>
          <w:kern w:val="0"/>
          <w:sz w:val="44"/>
        </w:rPr>
      </w:pPr>
      <w:r>
        <w:rPr>
          <w:rFonts w:hint="eastAsia" w:ascii="黑体" w:hAnsi="黑体" w:eastAsia="黑体" w:cstheme="minorBidi"/>
          <w:kern w:val="0"/>
          <w:sz w:val="44"/>
        </w:rPr>
        <w:t>监测报告</w:t>
      </w:r>
    </w:p>
    <w:p>
      <w:pPr>
        <w:widowControl/>
        <w:spacing w:after="200" w:line="220" w:lineRule="atLeast"/>
        <w:jc w:val="center"/>
        <w:rPr>
          <w:rFonts w:eastAsia="黑体"/>
          <w:b/>
          <w:kern w:val="0"/>
          <w:sz w:val="28"/>
          <w:szCs w:val="28"/>
        </w:rPr>
      </w:pPr>
      <w:r>
        <w:rPr>
          <w:rFonts w:hAnsi="黑体" w:eastAsia="黑体"/>
          <w:kern w:val="0"/>
          <w:sz w:val="28"/>
          <w:szCs w:val="28"/>
        </w:rPr>
        <w:t>元通</w:t>
      </w:r>
      <w:r>
        <w:rPr>
          <w:rFonts w:eastAsia="黑体"/>
          <w:kern w:val="0"/>
          <w:sz w:val="28"/>
          <w:szCs w:val="28"/>
        </w:rPr>
        <w:t>(</w:t>
      </w:r>
      <w:r>
        <w:rPr>
          <w:rFonts w:hAnsi="黑体" w:eastAsia="黑体"/>
          <w:kern w:val="0"/>
          <w:sz w:val="28"/>
          <w:szCs w:val="28"/>
        </w:rPr>
        <w:t>验</w:t>
      </w:r>
      <w:r>
        <w:rPr>
          <w:rFonts w:eastAsia="黑体"/>
          <w:kern w:val="0"/>
          <w:sz w:val="28"/>
          <w:szCs w:val="28"/>
        </w:rPr>
        <w:t>)</w:t>
      </w:r>
      <w:r>
        <w:rPr>
          <w:rFonts w:hAnsi="黑体" w:eastAsia="黑体"/>
          <w:kern w:val="0"/>
          <w:sz w:val="28"/>
          <w:szCs w:val="28"/>
        </w:rPr>
        <w:t>字</w:t>
      </w:r>
      <w:r>
        <w:rPr>
          <w:rFonts w:eastAsia="黑体"/>
          <w:kern w:val="0"/>
          <w:sz w:val="28"/>
          <w:szCs w:val="28"/>
        </w:rPr>
        <w:t>[</w:t>
      </w:r>
      <w:r>
        <w:rPr>
          <w:rFonts w:eastAsia="黑体"/>
          <w:color w:val="000000"/>
          <w:kern w:val="0"/>
          <w:sz w:val="28"/>
          <w:szCs w:val="28"/>
        </w:rPr>
        <w:t>20</w:t>
      </w:r>
      <w:r>
        <w:rPr>
          <w:rFonts w:eastAsia="黑体"/>
          <w:kern w:val="0"/>
          <w:sz w:val="28"/>
          <w:szCs w:val="28"/>
        </w:rPr>
        <w:t>17]</w:t>
      </w:r>
      <w:r>
        <w:rPr>
          <w:rFonts w:hAnsi="黑体" w:eastAsia="黑体"/>
          <w:kern w:val="0"/>
          <w:sz w:val="28"/>
          <w:szCs w:val="28"/>
        </w:rPr>
        <w:t>第</w:t>
      </w:r>
      <w:r>
        <w:rPr>
          <w:rFonts w:eastAsia="黑体"/>
          <w:kern w:val="0"/>
          <w:sz w:val="28"/>
          <w:szCs w:val="28"/>
        </w:rPr>
        <w:t>C128</w:t>
      </w:r>
      <w:r>
        <w:rPr>
          <w:rFonts w:hint="eastAsia" w:eastAsia="黑体"/>
          <w:kern w:val="0"/>
          <w:sz w:val="28"/>
          <w:szCs w:val="28"/>
        </w:rPr>
        <w:t>8</w:t>
      </w:r>
      <w:r>
        <w:rPr>
          <w:rFonts w:hAnsi="黑体" w:eastAsia="黑体"/>
          <w:kern w:val="0"/>
          <w:sz w:val="28"/>
          <w:szCs w:val="28"/>
        </w:rPr>
        <w:t>号</w:t>
      </w:r>
    </w:p>
    <w:p>
      <w:pPr>
        <w:widowControl/>
        <w:spacing w:after="200" w:line="220" w:lineRule="atLeast"/>
        <w:jc w:val="left"/>
        <w:rPr>
          <w:rFonts w:asciiTheme="minorEastAsia" w:hAnsiTheme="minorEastAsia" w:cstheme="minorBidi"/>
          <w:kern w:val="0"/>
          <w:sz w:val="32"/>
        </w:rPr>
      </w:pPr>
    </w:p>
    <w:p>
      <w:pPr>
        <w:widowControl/>
        <w:spacing w:after="200" w:line="220" w:lineRule="atLeast"/>
        <w:jc w:val="left"/>
        <w:rPr>
          <w:rFonts w:asciiTheme="minorEastAsia" w:hAnsiTheme="minorEastAsia" w:cstheme="minorBidi"/>
          <w:kern w:val="0"/>
          <w:sz w:val="32"/>
        </w:rPr>
      </w:pPr>
    </w:p>
    <w:p>
      <w:pPr>
        <w:widowControl/>
        <w:spacing w:after="200" w:line="220" w:lineRule="atLeast"/>
        <w:jc w:val="left"/>
        <w:rPr>
          <w:rFonts w:asciiTheme="minorEastAsia" w:hAnsiTheme="minorEastAsia" w:cstheme="minorBidi"/>
          <w:kern w:val="0"/>
          <w:sz w:val="32"/>
        </w:rPr>
      </w:pPr>
    </w:p>
    <w:p>
      <w:pPr>
        <w:widowControl/>
        <w:spacing w:after="200" w:line="220" w:lineRule="atLeast"/>
        <w:jc w:val="left"/>
        <w:rPr>
          <w:rFonts w:asciiTheme="minorEastAsia" w:hAnsiTheme="minorEastAsia" w:cstheme="minorBidi"/>
          <w:kern w:val="0"/>
          <w:sz w:val="32"/>
        </w:rPr>
      </w:pPr>
    </w:p>
    <w:p>
      <w:pPr>
        <w:widowControl/>
        <w:spacing w:after="200" w:line="220" w:lineRule="atLeast"/>
        <w:jc w:val="left"/>
        <w:rPr>
          <w:rFonts w:asciiTheme="minorEastAsia" w:hAnsiTheme="minorEastAsia" w:cstheme="minorBidi"/>
          <w:kern w:val="0"/>
          <w:sz w:val="32"/>
        </w:rPr>
      </w:pPr>
    </w:p>
    <w:p>
      <w:pPr>
        <w:widowControl/>
        <w:spacing w:after="200" w:line="220" w:lineRule="atLeast"/>
        <w:jc w:val="left"/>
        <w:rPr>
          <w:rFonts w:asciiTheme="minorEastAsia" w:hAnsiTheme="minorEastAsia" w:cstheme="minorBidi"/>
          <w:kern w:val="0"/>
          <w:sz w:val="32"/>
        </w:rPr>
      </w:pPr>
    </w:p>
    <w:p>
      <w:pPr>
        <w:widowControl/>
        <w:spacing w:after="200" w:line="220" w:lineRule="atLeast"/>
        <w:ind w:firstLine="1920" w:firstLineChars="600"/>
        <w:jc w:val="left"/>
        <w:rPr>
          <w:rFonts w:asciiTheme="minorEastAsia" w:hAnsiTheme="minorEastAsia" w:cstheme="minorBidi"/>
          <w:kern w:val="0"/>
          <w:sz w:val="32"/>
        </w:rPr>
      </w:pPr>
      <w:r>
        <w:rPr>
          <w:rFonts w:hint="eastAsia" w:asciiTheme="minorEastAsia" w:hAnsiTheme="minorEastAsia" w:cstheme="minorBidi"/>
          <w:kern w:val="0"/>
          <w:sz w:val="32"/>
        </w:rPr>
        <w:t>建设单位：</w:t>
      </w:r>
      <w:r>
        <w:rPr>
          <w:rFonts w:asciiTheme="minorEastAsia" w:hAnsiTheme="minorEastAsia" w:cstheme="minorBidi"/>
          <w:kern w:val="0"/>
          <w:sz w:val="32"/>
        </w:rPr>
        <w:t>临沂周兴建材有限公司</w:t>
      </w:r>
    </w:p>
    <w:p>
      <w:pPr>
        <w:widowControl/>
        <w:spacing w:after="200" w:line="220" w:lineRule="atLeast"/>
        <w:ind w:firstLine="1920" w:firstLineChars="600"/>
        <w:jc w:val="left"/>
        <w:rPr>
          <w:rFonts w:asciiTheme="minorEastAsia" w:hAnsiTheme="minorEastAsia" w:cstheme="minorBidi"/>
          <w:kern w:val="0"/>
          <w:sz w:val="32"/>
        </w:rPr>
      </w:pPr>
      <w:r>
        <w:rPr>
          <w:rFonts w:hint="eastAsia" w:asciiTheme="minorEastAsia" w:hAnsiTheme="minorEastAsia" w:cstheme="minorBidi"/>
          <w:kern w:val="0"/>
          <w:sz w:val="32"/>
        </w:rPr>
        <w:t>编制单位：山东元通监测有限公司</w:t>
      </w:r>
    </w:p>
    <w:p>
      <w:pPr>
        <w:widowControl/>
        <w:spacing w:after="200" w:line="220" w:lineRule="atLeast"/>
        <w:jc w:val="center"/>
        <w:rPr>
          <w:rFonts w:asciiTheme="minorEastAsia" w:hAnsiTheme="minorEastAsia" w:cstheme="minorBidi"/>
          <w:kern w:val="0"/>
          <w:sz w:val="32"/>
        </w:rPr>
      </w:pPr>
    </w:p>
    <w:p>
      <w:pPr>
        <w:widowControl/>
        <w:spacing w:after="200" w:line="220" w:lineRule="atLeast"/>
        <w:jc w:val="center"/>
        <w:rPr>
          <w:rFonts w:asciiTheme="minorEastAsia" w:hAnsiTheme="minorEastAsia" w:cstheme="minorBidi"/>
          <w:kern w:val="0"/>
          <w:sz w:val="32"/>
        </w:rPr>
      </w:pPr>
    </w:p>
    <w:p>
      <w:pPr>
        <w:widowControl/>
        <w:spacing w:after="200" w:line="220" w:lineRule="atLeast"/>
        <w:jc w:val="center"/>
        <w:rPr>
          <w:rFonts w:asciiTheme="minorEastAsia" w:hAnsiTheme="minorEastAsia" w:cstheme="minorBidi"/>
          <w:kern w:val="0"/>
          <w:sz w:val="32"/>
        </w:rPr>
      </w:pPr>
    </w:p>
    <w:p>
      <w:pPr>
        <w:widowControl/>
        <w:spacing w:after="200" w:line="220" w:lineRule="atLeast"/>
        <w:jc w:val="center"/>
        <w:rPr>
          <w:rFonts w:asciiTheme="minorEastAsia" w:hAnsiTheme="minorEastAsia" w:cstheme="minorBidi"/>
          <w:kern w:val="0"/>
          <w:sz w:val="32"/>
        </w:rPr>
      </w:pPr>
    </w:p>
    <w:p>
      <w:pPr>
        <w:widowControl/>
        <w:spacing w:beforeLines="150" w:after="200" w:line="220" w:lineRule="atLeast"/>
        <w:jc w:val="center"/>
        <w:rPr>
          <w:rFonts w:eastAsia="宋体"/>
          <w:kern w:val="0"/>
          <w:sz w:val="32"/>
          <w:szCs w:val="32"/>
        </w:rPr>
      </w:pPr>
      <w:r>
        <w:rPr>
          <w:rFonts w:hint="eastAsia" w:eastAsia="宋体"/>
          <w:kern w:val="0"/>
          <w:sz w:val="32"/>
          <w:szCs w:val="32"/>
        </w:rPr>
        <w:t>山东元通监测有限公司</w:t>
      </w:r>
    </w:p>
    <w:p>
      <w:pPr>
        <w:widowControl/>
        <w:spacing w:after="200" w:line="220" w:lineRule="atLeast"/>
        <w:jc w:val="center"/>
        <w:rPr>
          <w:rFonts w:asciiTheme="minorEastAsia" w:hAnsiTheme="minorEastAsia" w:cstheme="minorBidi"/>
          <w:kern w:val="0"/>
          <w:sz w:val="32"/>
        </w:rPr>
      </w:pPr>
      <w:r>
        <w:rPr>
          <w:rFonts w:hint="eastAsia" w:eastAsia="宋体"/>
          <w:kern w:val="0"/>
          <w:sz w:val="32"/>
          <w:szCs w:val="32"/>
        </w:rPr>
        <w:t>二〇一八</w:t>
      </w:r>
      <w:r>
        <w:rPr>
          <w:rFonts w:eastAsia="宋体"/>
          <w:kern w:val="0"/>
          <w:sz w:val="32"/>
          <w:szCs w:val="32"/>
        </w:rPr>
        <w:t>年</w:t>
      </w:r>
      <w:r>
        <w:rPr>
          <w:rFonts w:hint="eastAsia" w:eastAsia="宋体"/>
          <w:kern w:val="0"/>
          <w:sz w:val="32"/>
          <w:szCs w:val="32"/>
        </w:rPr>
        <w:t>一</w:t>
      </w:r>
      <w:r>
        <w:rPr>
          <w:rFonts w:eastAsia="宋体"/>
          <w:kern w:val="0"/>
          <w:sz w:val="32"/>
          <w:szCs w:val="32"/>
        </w:rPr>
        <w:t>月</w:t>
      </w:r>
    </w:p>
    <w:p>
      <w:pPr>
        <w:spacing w:line="220" w:lineRule="atLeast"/>
        <w:rPr>
          <w:rFonts w:asciiTheme="minorEastAsia" w:hAnsiTheme="minorEastAsia"/>
          <w:sz w:val="32"/>
        </w:rPr>
      </w:pPr>
    </w:p>
    <w:p>
      <w:pPr>
        <w:ind w:firstLine="520"/>
        <w:jc w:val="left"/>
        <w:rPr>
          <w:rFonts w:ascii="宋体" w:hAnsi="宋体"/>
          <w:sz w:val="28"/>
          <w:szCs w:val="28"/>
        </w:rPr>
        <w:sectPr>
          <w:headerReference r:id="rId4" w:type="first"/>
          <w:footerReference r:id="rId7" w:type="first"/>
          <w:footerReference r:id="rId5" w:type="default"/>
          <w:headerReference r:id="rId3" w:type="even"/>
          <w:footerReference r:id="rId6" w:type="even"/>
          <w:type w:val="continuous"/>
          <w:pgSz w:w="11906" w:h="16838"/>
          <w:pgMar w:top="1440" w:right="1440" w:bottom="1440" w:left="1440" w:header="851" w:footer="992" w:gutter="0"/>
          <w:pgNumType w:fmt="upperRoman" w:start="1"/>
          <w:cols w:space="720" w:num="1"/>
          <w:docGrid w:type="lines" w:linePitch="312" w:charSpace="0"/>
        </w:sectPr>
      </w:pPr>
    </w:p>
    <w:p>
      <w:pPr>
        <w:ind w:firstLine="52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40" w:firstLineChars="150"/>
        <w:jc w:val="left"/>
        <w:rPr>
          <w:rFonts w:ascii="宋体" w:hAnsi="宋体"/>
          <w:sz w:val="28"/>
          <w:szCs w:val="28"/>
        </w:rPr>
      </w:pPr>
      <w:r>
        <w:rPr>
          <w:i/>
          <w:sz w:val="36"/>
          <w:szCs w:val="36"/>
        </w:rPr>
        <w:pict>
          <v:shape id="_x0000_i1025" o:spt="136" type="#_x0000_t136" style="height:66pt;width:395.25pt;rotation:22609920f;" coordsize="21600,21600">
            <v:path/>
            <v:fill focussize="0,0"/>
            <v:stroke weight="0.5pt" dashstyle="1 1" endcap="round"/>
            <v:imagedata o:title=""/>
            <o:lock v:ext="edit"/>
            <v:textpath on="t" fitshape="t" fitpath="t" trim="t" xscale="f" string="仅限临沂周兴建材有限公司生产加工&#10;石膏贴面板、石膏制品和机械加工项目使用" style="font-family:宋体;font-size:36pt;v-text-align:center;"/>
            <w10:wrap type="none"/>
            <w10:anchorlock/>
          </v:shape>
        </w:pict>
      </w: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ind w:firstLine="560"/>
        <w:jc w:val="left"/>
        <w:rPr>
          <w:rFonts w:ascii="宋体" w:hAnsi="宋体"/>
          <w:sz w:val="28"/>
          <w:szCs w:val="28"/>
        </w:rPr>
      </w:pP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建设单位：</w:t>
      </w:r>
      <w:r>
        <w:rPr>
          <w:rFonts w:asciiTheme="minorEastAsia" w:hAnsiTheme="minorEastAsia" w:cstheme="minorBidi"/>
          <w:kern w:val="0"/>
          <w:sz w:val="28"/>
        </w:rPr>
        <w:t>临沂周兴建材有限公司</w:t>
      </w: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法人代表：陆伟</w:t>
      </w:r>
    </w:p>
    <w:p>
      <w:pPr>
        <w:widowControl/>
        <w:spacing w:after="200" w:line="220" w:lineRule="atLeast"/>
        <w:jc w:val="left"/>
        <w:rPr>
          <w:rFonts w:asciiTheme="minorEastAsia" w:hAnsiTheme="minorEastAsia" w:cstheme="minorBidi"/>
          <w:kern w:val="0"/>
          <w:sz w:val="28"/>
        </w:rPr>
      </w:pP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编制单位：山东元通监测有限公司</w:t>
      </w: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法人代表：赵月元</w:t>
      </w: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技术负责人：张如峰</w:t>
      </w: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质量负责人：宁波</w:t>
      </w: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项目负责人：王英</w:t>
      </w: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报告编写：</w:t>
      </w: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报告审核人：</w:t>
      </w: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授权签字人：</w:t>
      </w:r>
    </w:p>
    <w:p>
      <w:pPr>
        <w:widowControl/>
        <w:spacing w:after="200" w:line="220" w:lineRule="atLeast"/>
        <w:jc w:val="left"/>
        <w:rPr>
          <w:rFonts w:asciiTheme="minorEastAsia" w:hAnsiTheme="minorEastAsia" w:cstheme="minorBidi"/>
          <w:kern w:val="0"/>
          <w:sz w:val="28"/>
        </w:rPr>
      </w:pP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现场监测负责人：相成龙</w:t>
      </w:r>
    </w:p>
    <w:p>
      <w:pPr>
        <w:widowControl/>
        <w:spacing w:after="200" w:line="220" w:lineRule="atLeast"/>
        <w:jc w:val="left"/>
        <w:rPr>
          <w:rFonts w:asciiTheme="minorEastAsia" w:hAnsiTheme="minorEastAsia" w:cstheme="minorBidi"/>
          <w:kern w:val="0"/>
          <w:sz w:val="28"/>
        </w:rPr>
      </w:pPr>
      <w:r>
        <w:rPr>
          <w:rFonts w:hint="eastAsia" w:asciiTheme="minorEastAsia" w:hAnsiTheme="minorEastAsia" w:cstheme="minorBidi"/>
          <w:kern w:val="0"/>
          <w:sz w:val="28"/>
        </w:rPr>
        <w:t>参加人员：相成龙、尹言楠、刘兆生、张之亮</w:t>
      </w:r>
    </w:p>
    <w:p>
      <w:pPr>
        <w:widowControl/>
        <w:spacing w:after="200" w:line="220" w:lineRule="atLeast"/>
        <w:jc w:val="left"/>
        <w:rPr>
          <w:rFonts w:asciiTheme="minorEastAsia" w:hAnsiTheme="minorEastAsia" w:cstheme="minorBidi"/>
          <w:kern w:val="0"/>
          <w:sz w:val="32"/>
        </w:rPr>
      </w:pPr>
    </w:p>
    <w:p>
      <w:pPr>
        <w:widowControl/>
        <w:spacing w:after="200" w:line="220" w:lineRule="atLeast"/>
        <w:jc w:val="left"/>
        <w:rPr>
          <w:rFonts w:asciiTheme="minorEastAsia" w:hAnsiTheme="minorEastAsia" w:cstheme="minorBidi"/>
          <w:kern w:val="0"/>
          <w:sz w:val="32"/>
        </w:rPr>
      </w:pPr>
    </w:p>
    <w:p>
      <w:pPr>
        <w:spacing w:line="220" w:lineRule="atLeast"/>
        <w:ind w:firstLine="280" w:firstLineChars="100"/>
        <w:rPr>
          <w:rFonts w:eastAsia="宋体"/>
          <w:sz w:val="28"/>
          <w:szCs w:val="28"/>
        </w:rPr>
      </w:pPr>
    </w:p>
    <w:p>
      <w:pPr>
        <w:spacing w:line="220" w:lineRule="atLeast"/>
        <w:ind w:firstLine="280" w:firstLineChars="100"/>
        <w:rPr>
          <w:rFonts w:eastAsia="宋体"/>
          <w:sz w:val="28"/>
          <w:szCs w:val="28"/>
        </w:rPr>
      </w:pPr>
    </w:p>
    <w:p>
      <w:pPr>
        <w:spacing w:line="220" w:lineRule="atLeast"/>
        <w:ind w:firstLine="280" w:firstLineChars="100"/>
        <w:rPr>
          <w:rFonts w:eastAsia="宋体"/>
          <w:sz w:val="28"/>
          <w:szCs w:val="28"/>
        </w:rPr>
      </w:pPr>
      <w:r>
        <w:rPr>
          <w:rFonts w:eastAsia="宋体"/>
          <w:sz w:val="28"/>
          <w:szCs w:val="28"/>
        </w:rPr>
        <w:pict>
          <v:rect id="_x0000_s1338" o:spid="_x0000_s1338" o:spt="1" style="position:absolute;left:0pt;margin-left:219.1pt;margin-top:15.35pt;height:171.5pt;width:251.9pt;z-index:251713536;mso-width-relative:page;mso-height-relative:page;" stroked="f" coordsize="21600,21600">
            <v:path/>
            <v:fill focussize="0,0"/>
            <v:stroke on="f"/>
            <v:imagedata o:title=""/>
            <o:lock v:ext="edit"/>
            <v:textbox>
              <w:txbxContent>
                <w:p>
                  <w:pPr>
                    <w:rPr>
                      <w:rFonts w:eastAsia="宋体"/>
                      <w:sz w:val="24"/>
                      <w:szCs w:val="24"/>
                    </w:rPr>
                  </w:pPr>
                  <w:r>
                    <w:rPr>
                      <w:rFonts w:hint="eastAsia" w:hAnsi="宋体" w:eastAsia="宋体"/>
                      <w:sz w:val="24"/>
                      <w:szCs w:val="24"/>
                    </w:rPr>
                    <w:t>编制单位：</w:t>
                  </w:r>
                  <w:r>
                    <w:rPr>
                      <w:rFonts w:hAnsi="宋体" w:eastAsia="宋体"/>
                      <w:sz w:val="24"/>
                      <w:szCs w:val="24"/>
                    </w:rPr>
                    <w:t>山东</w:t>
                  </w:r>
                  <w:r>
                    <w:rPr>
                      <w:rFonts w:hint="eastAsia" w:hAnsi="宋体" w:eastAsia="宋体"/>
                      <w:sz w:val="24"/>
                      <w:szCs w:val="24"/>
                    </w:rPr>
                    <w:t>元通监测</w:t>
                  </w:r>
                  <w:r>
                    <w:rPr>
                      <w:rFonts w:hAnsi="宋体" w:eastAsia="宋体"/>
                      <w:sz w:val="24"/>
                      <w:szCs w:val="24"/>
                    </w:rPr>
                    <w:t>有限公司</w:t>
                  </w:r>
                </w:p>
                <w:p>
                  <w:pPr>
                    <w:rPr>
                      <w:rFonts w:hAnsi="宋体" w:eastAsia="宋体"/>
                      <w:sz w:val="24"/>
                      <w:szCs w:val="24"/>
                    </w:rPr>
                  </w:pPr>
                  <w:r>
                    <w:rPr>
                      <w:rFonts w:hint="eastAsia" w:hAnsi="宋体" w:eastAsia="宋体"/>
                      <w:sz w:val="24"/>
                      <w:szCs w:val="24"/>
                    </w:rPr>
                    <w:t>电话：0539-5638099</w:t>
                  </w:r>
                </w:p>
                <w:p>
                  <w:pPr>
                    <w:rPr>
                      <w:rFonts w:hAnsi="宋体" w:eastAsia="宋体"/>
                      <w:sz w:val="24"/>
                      <w:szCs w:val="24"/>
                    </w:rPr>
                  </w:pPr>
                  <w:r>
                    <w:rPr>
                      <w:rFonts w:hint="eastAsia" w:hAnsi="宋体" w:eastAsia="宋体"/>
                      <w:sz w:val="24"/>
                      <w:szCs w:val="24"/>
                    </w:rPr>
                    <w:t xml:space="preserve">传真：0539-5638678 </w:t>
                  </w:r>
                </w:p>
                <w:p>
                  <w:pPr>
                    <w:rPr>
                      <w:rFonts w:eastAsia="宋体"/>
                      <w:sz w:val="24"/>
                      <w:szCs w:val="24"/>
                    </w:rPr>
                  </w:pPr>
                  <w:r>
                    <w:rPr>
                      <w:rFonts w:hAnsi="宋体" w:eastAsia="宋体"/>
                      <w:sz w:val="24"/>
                      <w:szCs w:val="24"/>
                    </w:rPr>
                    <w:t>邮编：</w:t>
                  </w:r>
                  <w:r>
                    <w:rPr>
                      <w:rFonts w:eastAsia="宋体"/>
                      <w:sz w:val="24"/>
                      <w:szCs w:val="24"/>
                    </w:rPr>
                    <w:t>2760</w:t>
                  </w:r>
                  <w:r>
                    <w:rPr>
                      <w:rFonts w:hint="eastAsia" w:eastAsia="宋体"/>
                      <w:sz w:val="24"/>
                      <w:szCs w:val="24"/>
                    </w:rPr>
                    <w:t>00</w:t>
                  </w:r>
                </w:p>
                <w:p>
                  <w:pPr>
                    <w:ind w:left="720" w:hanging="720" w:hangingChars="300"/>
                    <w:rPr>
                      <w:rFonts w:eastAsia="宋体"/>
                      <w:sz w:val="24"/>
                      <w:szCs w:val="24"/>
                    </w:rPr>
                  </w:pPr>
                  <w:r>
                    <w:rPr>
                      <w:rFonts w:hAnsi="宋体" w:eastAsia="宋体"/>
                      <w:sz w:val="24"/>
                      <w:szCs w:val="24"/>
                    </w:rPr>
                    <w:t>地址：</w:t>
                  </w:r>
                  <w:r>
                    <w:rPr>
                      <w:rFonts w:hint="eastAsia" w:eastAsia="宋体"/>
                      <w:sz w:val="24"/>
                      <w:szCs w:val="24"/>
                    </w:rPr>
                    <w:t>山东省临沂市临沂经济技术开发区芝麻墩街道海关路与金华路交汇处山东智晟科技园A幢1号楼五楼办公室</w:t>
                  </w:r>
                </w:p>
                <w:p>
                  <w:pPr>
                    <w:rPr>
                      <w:rFonts w:eastAsia="宋体"/>
                      <w:sz w:val="24"/>
                      <w:szCs w:val="24"/>
                    </w:rPr>
                  </w:pPr>
                </w:p>
              </w:txbxContent>
            </v:textbox>
          </v:rect>
        </w:pict>
      </w:r>
      <w:r>
        <w:rPr>
          <w:rFonts w:eastAsia="宋体"/>
          <w:sz w:val="28"/>
          <w:szCs w:val="28"/>
        </w:rPr>
        <w:pict>
          <v:rect id="_x0000_s1337" o:spid="_x0000_s1337" o:spt="1" style="position:absolute;left:0pt;margin-left:-23.5pt;margin-top:14.6pt;height:150.25pt;width:234.7pt;z-index:251712512;mso-width-relative:page;mso-height-relative:page;" stroked="f" coordsize="21600,21600">
            <v:path/>
            <v:fill focussize="0,0"/>
            <v:stroke on="f"/>
            <v:imagedata o:title=""/>
            <o:lock v:ext="edit"/>
            <v:textbox>
              <w:txbxContent>
                <w:p>
                  <w:pPr>
                    <w:ind w:left="1200" w:hanging="1200" w:hangingChars="500"/>
                    <w:rPr>
                      <w:rFonts w:eastAsia="宋体"/>
                      <w:sz w:val="24"/>
                      <w:szCs w:val="24"/>
                    </w:rPr>
                  </w:pPr>
                  <w:r>
                    <w:rPr>
                      <w:rFonts w:hint="eastAsia" w:hAnsi="宋体" w:eastAsia="宋体"/>
                      <w:sz w:val="24"/>
                      <w:szCs w:val="24"/>
                    </w:rPr>
                    <w:t>建设单位：</w:t>
                  </w:r>
                  <w:r>
                    <w:t>临沂周兴建材有限公司</w:t>
                  </w:r>
                </w:p>
                <w:p>
                  <w:pPr>
                    <w:rPr>
                      <w:rFonts w:eastAsia="宋体"/>
                      <w:sz w:val="24"/>
                      <w:szCs w:val="24"/>
                    </w:rPr>
                  </w:pPr>
                  <w:r>
                    <w:rPr>
                      <w:rFonts w:hAnsi="宋体" w:eastAsia="宋体"/>
                      <w:sz w:val="24"/>
                      <w:szCs w:val="24"/>
                    </w:rPr>
                    <w:t>电话：</w:t>
                  </w:r>
                  <w:r>
                    <w:rPr>
                      <w:rFonts w:hint="eastAsia" w:hAnsi="宋体" w:eastAsia="宋体"/>
                      <w:sz w:val="24"/>
                      <w:szCs w:val="24"/>
                    </w:rPr>
                    <w:t>13791556681</w:t>
                  </w:r>
                </w:p>
                <w:p>
                  <w:pPr>
                    <w:rPr>
                      <w:rFonts w:eastAsia="宋体"/>
                      <w:sz w:val="24"/>
                      <w:szCs w:val="24"/>
                    </w:rPr>
                  </w:pPr>
                  <w:r>
                    <w:rPr>
                      <w:rFonts w:hAnsi="宋体" w:eastAsia="宋体"/>
                      <w:sz w:val="24"/>
                      <w:szCs w:val="24"/>
                    </w:rPr>
                    <w:t>邮编：</w:t>
                  </w:r>
                  <w:r>
                    <w:rPr>
                      <w:rFonts w:hint="eastAsia" w:hAnsi="宋体" w:eastAsia="宋体"/>
                      <w:sz w:val="24"/>
                      <w:szCs w:val="24"/>
                    </w:rPr>
                    <w:t>276014</w:t>
                  </w:r>
                </w:p>
                <w:p>
                  <w:pPr>
                    <w:ind w:left="720" w:hanging="720" w:hangingChars="300"/>
                    <w:rPr>
                      <w:rFonts w:eastAsia="宋体"/>
                      <w:sz w:val="24"/>
                      <w:szCs w:val="24"/>
                    </w:rPr>
                  </w:pPr>
                  <w:r>
                    <w:rPr>
                      <w:rFonts w:hAnsi="宋体" w:eastAsia="宋体"/>
                      <w:sz w:val="24"/>
                      <w:szCs w:val="24"/>
                    </w:rPr>
                    <w:t>地址：临沂国家高新技术产业开发区罗西街道朱隆工业</w:t>
                  </w:r>
                  <w:r>
                    <w:rPr>
                      <w:rFonts w:hint="eastAsia" w:hAnsi="宋体" w:eastAsia="宋体"/>
                      <w:sz w:val="24"/>
                      <w:szCs w:val="24"/>
                    </w:rPr>
                    <w:t>内</w:t>
                  </w:r>
                  <w:r>
                    <w:rPr>
                      <w:rFonts w:hAnsi="宋体" w:eastAsia="宋体"/>
                      <w:sz w:val="24"/>
                      <w:szCs w:val="24"/>
                    </w:rPr>
                    <w:t>园</w:t>
                  </w:r>
                </w:p>
                <w:p>
                  <w:pPr>
                    <w:rPr>
                      <w:rFonts w:ascii="宋体" w:hAnsi="宋体" w:eastAsia="宋体"/>
                      <w:sz w:val="24"/>
                      <w:szCs w:val="24"/>
                    </w:rPr>
                  </w:pPr>
                </w:p>
              </w:txbxContent>
            </v:textbox>
          </v:rect>
        </w:pict>
      </w:r>
    </w:p>
    <w:p>
      <w:pPr>
        <w:spacing w:line="220" w:lineRule="atLeast"/>
        <w:rPr>
          <w:rFonts w:eastAsia="宋体"/>
          <w:sz w:val="28"/>
          <w:szCs w:val="28"/>
        </w:rPr>
        <w:sectPr>
          <w:headerReference r:id="rId9" w:type="first"/>
          <w:footerReference r:id="rId11" w:type="first"/>
          <w:headerReference r:id="rId8" w:type="default"/>
          <w:footerReference r:id="rId10" w:type="default"/>
          <w:pgSz w:w="11906" w:h="16838"/>
          <w:pgMar w:top="1440" w:right="1800" w:bottom="1440" w:left="1800" w:header="708" w:footer="708" w:gutter="0"/>
          <w:pgNumType w:start="0"/>
          <w:cols w:space="708" w:num="1"/>
          <w:titlePg/>
          <w:docGrid w:type="lines" w:linePitch="360" w:charSpace="0"/>
        </w:sectPr>
      </w:pPr>
    </w:p>
    <w:p>
      <w:pPr>
        <w:widowControl/>
        <w:ind w:firstLine="800"/>
        <w:jc w:val="left"/>
        <w:rPr>
          <w:rFonts w:eastAsia="黑体"/>
          <w:spacing w:val="20"/>
          <w:sz w:val="36"/>
        </w:rPr>
        <w:sectPr>
          <w:pgSz w:w="11906" w:h="16838"/>
          <w:pgMar w:top="1440" w:right="1440" w:bottom="1440" w:left="1440" w:header="851" w:footer="992" w:gutter="0"/>
          <w:pgNumType w:fmt="upperRoman" w:start="1"/>
          <w:cols w:space="720" w:num="1"/>
          <w:docGrid w:type="lines" w:linePitch="312" w:charSpace="0"/>
        </w:sectPr>
      </w:pPr>
    </w:p>
    <w:p>
      <w:pPr>
        <w:adjustRightInd/>
        <w:snapToGrid/>
        <w:spacing w:line="240" w:lineRule="auto"/>
        <w:jc w:val="center"/>
        <w:rPr>
          <w:rFonts w:eastAsia="黑体"/>
          <w:spacing w:val="20"/>
          <w:sz w:val="36"/>
          <w:szCs w:val="20"/>
        </w:rPr>
      </w:pPr>
      <w:r>
        <w:rPr>
          <w:rFonts w:hint="eastAsia" w:eastAsia="黑体"/>
          <w:spacing w:val="20"/>
          <w:sz w:val="36"/>
          <w:szCs w:val="20"/>
        </w:rPr>
        <w:t>注</w:t>
      </w:r>
      <w:r>
        <w:rPr>
          <w:rFonts w:eastAsia="黑体"/>
          <w:spacing w:val="20"/>
          <w:sz w:val="36"/>
          <w:szCs w:val="20"/>
        </w:rPr>
        <w:t xml:space="preserve">  </w:t>
      </w:r>
      <w:r>
        <w:rPr>
          <w:rFonts w:hint="eastAsia" w:eastAsia="黑体"/>
          <w:spacing w:val="20"/>
          <w:sz w:val="36"/>
          <w:szCs w:val="20"/>
        </w:rPr>
        <w:t>意</w:t>
      </w:r>
      <w:r>
        <w:rPr>
          <w:rFonts w:eastAsia="黑体"/>
          <w:spacing w:val="20"/>
          <w:sz w:val="36"/>
          <w:szCs w:val="20"/>
        </w:rPr>
        <w:t xml:space="preserve">  </w:t>
      </w:r>
      <w:r>
        <w:rPr>
          <w:rFonts w:hint="eastAsia" w:eastAsia="黑体"/>
          <w:spacing w:val="20"/>
          <w:sz w:val="36"/>
          <w:szCs w:val="20"/>
        </w:rPr>
        <w:t>事</w:t>
      </w:r>
      <w:r>
        <w:rPr>
          <w:rFonts w:eastAsia="黑体"/>
          <w:spacing w:val="20"/>
          <w:sz w:val="36"/>
          <w:szCs w:val="20"/>
        </w:rPr>
        <w:t xml:space="preserve">  </w:t>
      </w:r>
      <w:r>
        <w:rPr>
          <w:rFonts w:hint="eastAsia" w:eastAsia="黑体"/>
          <w:spacing w:val="20"/>
          <w:sz w:val="36"/>
          <w:szCs w:val="20"/>
        </w:rPr>
        <w:t>项</w:t>
      </w:r>
    </w:p>
    <w:p>
      <w:pPr>
        <w:adjustRightInd/>
        <w:snapToGrid/>
        <w:spacing w:line="240" w:lineRule="auto"/>
        <w:jc w:val="center"/>
        <w:rPr>
          <w:rFonts w:eastAsia="黑体"/>
          <w:spacing w:val="20"/>
          <w:sz w:val="36"/>
          <w:szCs w:val="20"/>
        </w:rPr>
      </w:pPr>
    </w:p>
    <w:p>
      <w:pPr>
        <w:numPr>
          <w:ilvl w:val="0"/>
          <w:numId w:val="1"/>
        </w:numPr>
        <w:adjustRightInd/>
        <w:snapToGrid/>
        <w:spacing w:line="480" w:lineRule="auto"/>
        <w:rPr>
          <w:rFonts w:eastAsia="宋体"/>
          <w:color w:val="000000"/>
          <w:spacing w:val="20"/>
          <w:sz w:val="28"/>
          <w:szCs w:val="20"/>
        </w:rPr>
      </w:pPr>
      <w:r>
        <w:rPr>
          <w:rFonts w:eastAsia="宋体"/>
          <w:sz w:val="21"/>
          <w:szCs w:val="20"/>
        </w:rPr>
        <w:drawing>
          <wp:anchor distT="0" distB="0" distL="114300" distR="114300" simplePos="0" relativeHeight="251679744" behindDoc="0" locked="0" layoutInCell="1" allowOverlap="1">
            <wp:simplePos x="0" y="0"/>
            <wp:positionH relativeFrom="column">
              <wp:posOffset>1040130</wp:posOffset>
            </wp:positionH>
            <wp:positionV relativeFrom="paragraph">
              <wp:posOffset>66040</wp:posOffset>
            </wp:positionV>
            <wp:extent cx="600710" cy="313690"/>
            <wp:effectExtent l="19050" t="0" r="8890" b="0"/>
            <wp:wrapNone/>
            <wp:docPr id="37" name="图片 53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35" descr="01"/>
                    <pic:cNvPicPr>
                      <a:picLocks noChangeAspect="1" noChangeArrowheads="1"/>
                    </pic:cNvPicPr>
                  </pic:nvPicPr>
                  <pic:blipFill>
                    <a:blip r:embed="rId39" cstate="print"/>
                    <a:srcRect/>
                    <a:stretch>
                      <a:fillRect/>
                    </a:stretch>
                  </pic:blipFill>
                  <pic:spPr>
                    <a:xfrm>
                      <a:off x="0" y="0"/>
                      <a:ext cx="600710" cy="313690"/>
                    </a:xfrm>
                    <a:prstGeom prst="rect">
                      <a:avLst/>
                    </a:prstGeom>
                    <a:noFill/>
                  </pic:spPr>
                </pic:pic>
              </a:graphicData>
            </a:graphic>
          </wp:anchor>
        </w:drawing>
      </w:r>
      <w:r>
        <w:rPr>
          <w:rFonts w:hint="eastAsia" w:eastAsia="宋体"/>
          <w:color w:val="000000"/>
          <w:spacing w:val="20"/>
          <w:sz w:val="28"/>
          <w:szCs w:val="28"/>
        </w:rPr>
        <w:t>本报告无</w:t>
      </w:r>
      <w:r>
        <w:rPr>
          <w:rFonts w:eastAsia="宋体"/>
          <w:color w:val="000000"/>
          <w:spacing w:val="20"/>
          <w:sz w:val="28"/>
          <w:szCs w:val="28"/>
        </w:rPr>
        <w:t xml:space="preserve">     </w:t>
      </w:r>
      <w:r>
        <w:rPr>
          <w:rFonts w:hint="eastAsia" w:eastAsia="宋体"/>
          <w:color w:val="000000"/>
          <w:spacing w:val="20"/>
          <w:sz w:val="28"/>
          <w:szCs w:val="28"/>
        </w:rPr>
        <w:t>章、骑缝章或批准人签字</w:t>
      </w:r>
      <w:r>
        <w:rPr>
          <w:rFonts w:hint="eastAsia" w:eastAsia="宋体"/>
          <w:color w:val="000000"/>
          <w:spacing w:val="20"/>
          <w:sz w:val="28"/>
          <w:szCs w:val="20"/>
        </w:rPr>
        <w:t>无效。</w:t>
      </w:r>
    </w:p>
    <w:p>
      <w:pPr>
        <w:adjustRightInd/>
        <w:snapToGrid/>
        <w:spacing w:line="480" w:lineRule="auto"/>
        <w:ind w:left="320" w:hanging="320" w:hangingChars="100"/>
        <w:rPr>
          <w:rFonts w:eastAsia="宋体"/>
          <w:color w:val="000000"/>
          <w:spacing w:val="20"/>
          <w:sz w:val="28"/>
          <w:szCs w:val="20"/>
        </w:rPr>
      </w:pPr>
      <w:r>
        <w:rPr>
          <w:rFonts w:eastAsia="宋体"/>
          <w:color w:val="000000"/>
          <w:spacing w:val="20"/>
          <w:sz w:val="28"/>
          <w:szCs w:val="20"/>
        </w:rPr>
        <w:t xml:space="preserve">2. </w:t>
      </w:r>
      <w:r>
        <w:rPr>
          <w:rFonts w:hint="eastAsia" w:eastAsia="宋体"/>
          <w:color w:val="000000"/>
          <w:spacing w:val="20"/>
          <w:sz w:val="28"/>
          <w:szCs w:val="20"/>
        </w:rPr>
        <w:t>对测试结果若有异议，请于收到报告之日起十五日内向检验单位提出。</w:t>
      </w:r>
    </w:p>
    <w:p>
      <w:pPr>
        <w:adjustRightInd/>
        <w:snapToGrid/>
        <w:spacing w:line="480" w:lineRule="auto"/>
        <w:rPr>
          <w:rFonts w:eastAsia="宋体"/>
          <w:color w:val="000000"/>
          <w:spacing w:val="20"/>
          <w:sz w:val="28"/>
          <w:szCs w:val="20"/>
        </w:rPr>
      </w:pPr>
      <w:r>
        <w:rPr>
          <w:rFonts w:eastAsia="宋体"/>
          <w:color w:val="000000"/>
          <w:spacing w:val="20"/>
          <w:sz w:val="28"/>
          <w:szCs w:val="20"/>
        </w:rPr>
        <w:t xml:space="preserve">3. </w:t>
      </w:r>
      <w:r>
        <w:rPr>
          <w:rFonts w:hint="eastAsia" w:eastAsia="宋体"/>
          <w:color w:val="000000"/>
          <w:spacing w:val="20"/>
          <w:sz w:val="28"/>
          <w:szCs w:val="20"/>
        </w:rPr>
        <w:t>不可重复性试验不进行复检。</w:t>
      </w:r>
    </w:p>
    <w:p>
      <w:pPr>
        <w:adjustRightInd/>
        <w:snapToGrid/>
        <w:spacing w:line="480" w:lineRule="auto"/>
        <w:rPr>
          <w:rFonts w:eastAsia="宋体"/>
          <w:color w:val="000000"/>
          <w:spacing w:val="20"/>
          <w:sz w:val="28"/>
          <w:szCs w:val="20"/>
        </w:rPr>
      </w:pPr>
      <w:r>
        <w:rPr>
          <w:rFonts w:eastAsia="宋体"/>
          <w:color w:val="000000"/>
          <w:spacing w:val="20"/>
          <w:sz w:val="28"/>
          <w:szCs w:val="20"/>
        </w:rPr>
        <w:t xml:space="preserve">4. </w:t>
      </w:r>
      <w:r>
        <w:rPr>
          <w:rFonts w:hint="eastAsia" w:eastAsia="宋体"/>
          <w:color w:val="000000"/>
          <w:spacing w:val="20"/>
          <w:sz w:val="28"/>
          <w:szCs w:val="20"/>
        </w:rPr>
        <w:t>本结果仅对来样负责。</w:t>
      </w:r>
    </w:p>
    <w:p>
      <w:pPr>
        <w:adjustRightInd/>
        <w:snapToGrid/>
        <w:spacing w:line="480" w:lineRule="auto"/>
        <w:rPr>
          <w:rFonts w:eastAsia="宋体"/>
          <w:color w:val="000000"/>
          <w:spacing w:val="20"/>
          <w:sz w:val="28"/>
          <w:szCs w:val="20"/>
        </w:rPr>
      </w:pPr>
      <w:r>
        <w:rPr>
          <w:rFonts w:eastAsia="宋体"/>
          <w:color w:val="000000"/>
          <w:spacing w:val="20"/>
          <w:sz w:val="28"/>
          <w:szCs w:val="20"/>
        </w:rPr>
        <w:t xml:space="preserve">5. </w:t>
      </w:r>
      <w:r>
        <w:rPr>
          <w:rFonts w:hint="eastAsia" w:eastAsia="宋体"/>
          <w:color w:val="000000"/>
          <w:spacing w:val="20"/>
          <w:sz w:val="28"/>
          <w:szCs w:val="20"/>
        </w:rPr>
        <w:t>未经检验单位书面批准，不得部分复印本报告。</w:t>
      </w:r>
    </w:p>
    <w:p>
      <w:pPr>
        <w:adjustRightInd/>
        <w:snapToGrid/>
        <w:spacing w:line="480" w:lineRule="auto"/>
        <w:rPr>
          <w:rFonts w:eastAsia="宋体"/>
          <w:color w:val="000000"/>
          <w:spacing w:val="20"/>
          <w:sz w:val="28"/>
          <w:szCs w:val="28"/>
        </w:rPr>
      </w:pPr>
      <w:r>
        <w:rPr>
          <w:rFonts w:eastAsia="宋体"/>
          <w:color w:val="000000"/>
          <w:spacing w:val="20"/>
          <w:sz w:val="28"/>
          <w:szCs w:val="28"/>
        </w:rPr>
        <w:t>6</w:t>
      </w:r>
      <w:r>
        <w:rPr>
          <w:rFonts w:hint="eastAsia" w:eastAsia="宋体"/>
          <w:color w:val="000000"/>
          <w:spacing w:val="20"/>
          <w:sz w:val="28"/>
          <w:szCs w:val="28"/>
        </w:rPr>
        <w:t>．</w:t>
      </w:r>
      <w:r>
        <w:rPr>
          <w:rFonts w:eastAsia="宋体"/>
          <w:sz w:val="28"/>
          <w:szCs w:val="28"/>
        </w:rPr>
        <w:drawing>
          <wp:anchor distT="0" distB="0" distL="114300" distR="114300" simplePos="0" relativeHeight="251680768" behindDoc="0" locked="0" layoutInCell="1" allowOverlap="1">
            <wp:simplePos x="0" y="0"/>
            <wp:positionH relativeFrom="column">
              <wp:posOffset>181610</wp:posOffset>
            </wp:positionH>
            <wp:positionV relativeFrom="paragraph">
              <wp:posOffset>402590</wp:posOffset>
            </wp:positionV>
            <wp:extent cx="565150" cy="565150"/>
            <wp:effectExtent l="19050" t="0" r="6350" b="0"/>
            <wp:wrapNone/>
            <wp:docPr id="38" name="图片 537" descr="7383868415646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37" descr="738386841564635803"/>
                    <pic:cNvPicPr>
                      <a:picLocks noChangeAspect="1" noChangeArrowheads="1"/>
                    </pic:cNvPicPr>
                  </pic:nvPicPr>
                  <pic:blipFill>
                    <a:blip r:embed="rId40" cstate="print"/>
                    <a:srcRect/>
                    <a:stretch>
                      <a:fillRect/>
                    </a:stretch>
                  </pic:blipFill>
                  <pic:spPr>
                    <a:xfrm>
                      <a:off x="0" y="0"/>
                      <a:ext cx="565150" cy="565150"/>
                    </a:xfrm>
                    <a:prstGeom prst="rect">
                      <a:avLst/>
                    </a:prstGeom>
                    <a:noFill/>
                  </pic:spPr>
                </pic:pic>
              </a:graphicData>
            </a:graphic>
          </wp:anchor>
        </w:drawing>
      </w:r>
      <w:r>
        <w:rPr>
          <w:rFonts w:hint="eastAsia" w:eastAsia="宋体"/>
          <w:snapToGrid w:val="0"/>
          <w:kern w:val="0"/>
          <w:sz w:val="28"/>
          <w:szCs w:val="28"/>
        </w:rPr>
        <w:t>查询报告真伪请致电</w:t>
      </w:r>
      <w:r>
        <w:rPr>
          <w:rFonts w:eastAsia="宋体"/>
          <w:snapToGrid w:val="0"/>
          <w:kern w:val="0"/>
          <w:sz w:val="28"/>
          <w:szCs w:val="28"/>
        </w:rPr>
        <w:t xml:space="preserve">0539-5638098 </w:t>
      </w:r>
      <w:r>
        <w:rPr>
          <w:rFonts w:hint="eastAsia" w:eastAsia="宋体"/>
          <w:snapToGrid w:val="0"/>
          <w:kern w:val="0"/>
          <w:sz w:val="28"/>
          <w:szCs w:val="28"/>
        </w:rPr>
        <w:t>或</w:t>
      </w:r>
      <w:r>
        <w:rPr>
          <w:rFonts w:eastAsia="宋体"/>
          <w:snapToGrid w:val="0"/>
          <w:kern w:val="0"/>
          <w:sz w:val="28"/>
          <w:szCs w:val="28"/>
        </w:rPr>
        <w:t xml:space="preserve"> </w:t>
      </w:r>
      <w:r>
        <w:rPr>
          <w:rFonts w:hint="eastAsia" w:eastAsia="宋体"/>
          <w:snapToGrid w:val="0"/>
          <w:kern w:val="0"/>
          <w:sz w:val="28"/>
          <w:szCs w:val="28"/>
        </w:rPr>
        <w:t>扫描公司网站二维码“</w:t>
      </w:r>
      <w:r>
        <w:rPr>
          <w:rFonts w:eastAsia="宋体"/>
          <w:snapToGrid w:val="0"/>
          <w:kern w:val="0"/>
          <w:sz w:val="28"/>
          <w:szCs w:val="28"/>
        </w:rPr>
        <w:t xml:space="preserve">      </w:t>
      </w:r>
      <w:r>
        <w:rPr>
          <w:rFonts w:hint="eastAsia" w:eastAsia="宋体"/>
          <w:snapToGrid w:val="0"/>
          <w:kern w:val="0"/>
          <w:sz w:val="28"/>
          <w:szCs w:val="28"/>
        </w:rPr>
        <w:t>”，在“新闻中心”</w:t>
      </w:r>
      <w:r>
        <w:rPr>
          <w:rFonts w:eastAsia="宋体"/>
          <w:snapToGrid w:val="0"/>
          <w:kern w:val="0"/>
          <w:sz w:val="28"/>
          <w:szCs w:val="28"/>
        </w:rPr>
        <w:t>---</w:t>
      </w:r>
      <w:r>
        <w:rPr>
          <w:rFonts w:hint="eastAsia" w:eastAsia="宋体"/>
          <w:snapToGrid w:val="0"/>
          <w:kern w:val="0"/>
          <w:sz w:val="28"/>
          <w:szCs w:val="28"/>
        </w:rPr>
        <w:t>“报告查询”栏可查询报告真伪。</w:t>
      </w:r>
    </w:p>
    <w:p>
      <w:pPr>
        <w:jc w:val="center"/>
        <w:rPr>
          <w:sz w:val="40"/>
        </w:rPr>
        <w:sectPr>
          <w:headerReference r:id="rId14" w:type="first"/>
          <w:footerReference r:id="rId17" w:type="first"/>
          <w:headerReference r:id="rId12" w:type="default"/>
          <w:footerReference r:id="rId15" w:type="default"/>
          <w:headerReference r:id="rId13" w:type="even"/>
          <w:footerReference r:id="rId16" w:type="even"/>
          <w:type w:val="continuous"/>
          <w:pgSz w:w="11906" w:h="16838"/>
          <w:pgMar w:top="1440" w:right="1800" w:bottom="1440" w:left="1800" w:header="737" w:footer="992" w:gutter="0"/>
          <w:pgNumType w:fmt="upperRoman" w:start="1"/>
          <w:cols w:space="425" w:num="1"/>
          <w:docGrid w:type="lines" w:linePitch="354" w:charSpace="0"/>
        </w:sectPr>
      </w:pPr>
    </w:p>
    <w:p>
      <w:pPr>
        <w:adjustRightInd/>
        <w:snapToGrid/>
        <w:spacing w:line="240" w:lineRule="auto"/>
        <w:ind w:firstLine="197" w:firstLineChars="49"/>
        <w:jc w:val="center"/>
        <w:rPr>
          <w:rFonts w:eastAsia="宋体"/>
          <w:b/>
          <w:sz w:val="40"/>
          <w:szCs w:val="40"/>
        </w:rPr>
      </w:pPr>
      <w:r>
        <w:rPr>
          <w:rFonts w:hAnsi="宋体" w:eastAsia="宋体"/>
          <w:b/>
          <w:sz w:val="40"/>
          <w:szCs w:val="40"/>
        </w:rPr>
        <w:t>前</w:t>
      </w:r>
      <w:r>
        <w:rPr>
          <w:rFonts w:eastAsia="宋体"/>
          <w:b/>
          <w:sz w:val="40"/>
          <w:szCs w:val="40"/>
        </w:rPr>
        <w:t xml:space="preserve">  </w:t>
      </w:r>
      <w:r>
        <w:rPr>
          <w:rFonts w:hAnsi="宋体" w:eastAsia="宋体"/>
          <w:b/>
          <w:sz w:val="40"/>
          <w:szCs w:val="40"/>
        </w:rPr>
        <w:t>言</w:t>
      </w:r>
    </w:p>
    <w:p>
      <w:pPr>
        <w:adjustRightInd/>
        <w:snapToGrid/>
        <w:ind w:firstLine="480" w:firstLineChars="200"/>
        <w:rPr>
          <w:rFonts w:eastAsia="宋体"/>
          <w:sz w:val="24"/>
          <w:szCs w:val="24"/>
        </w:rPr>
      </w:pPr>
      <w:r>
        <w:rPr>
          <w:rFonts w:eastAsia="宋体"/>
          <w:sz w:val="24"/>
          <w:szCs w:val="24"/>
        </w:rPr>
        <w:t>临沂周兴建材有限公司生产加工石膏贴面板、石膏制品和机械加工项目位于临沂国家高新技术产业开发区罗西街道朱隆工业园</w:t>
      </w:r>
      <w:r>
        <w:rPr>
          <w:rFonts w:hint="eastAsia" w:eastAsia="宋体"/>
          <w:bCs/>
          <w:sz w:val="24"/>
          <w:szCs w:val="24"/>
        </w:rPr>
        <w:t>。</w:t>
      </w:r>
      <w:r>
        <w:rPr>
          <w:rFonts w:hint="eastAsia" w:eastAsia="宋体"/>
          <w:sz w:val="24"/>
          <w:szCs w:val="24"/>
        </w:rPr>
        <w:t>该项目</w:t>
      </w:r>
      <w:r>
        <w:rPr>
          <w:rFonts w:eastAsia="宋体"/>
          <w:sz w:val="24"/>
          <w:szCs w:val="24"/>
        </w:rPr>
        <w:t>总占地面积</w:t>
      </w:r>
      <w:r>
        <w:rPr>
          <w:rFonts w:hint="eastAsia" w:eastAsia="宋体"/>
          <w:sz w:val="24"/>
          <w:szCs w:val="24"/>
        </w:rPr>
        <w:t>19343平方米，</w:t>
      </w:r>
      <w:r>
        <w:rPr>
          <w:rFonts w:eastAsia="宋体"/>
          <w:sz w:val="24"/>
          <w:szCs w:val="24"/>
        </w:rPr>
        <w:t>总投资</w:t>
      </w:r>
      <w:r>
        <w:rPr>
          <w:rFonts w:hint="eastAsia" w:eastAsia="宋体"/>
          <w:sz w:val="24"/>
          <w:szCs w:val="24"/>
        </w:rPr>
        <w:t>150</w:t>
      </w:r>
      <w:r>
        <w:rPr>
          <w:rFonts w:eastAsia="宋体"/>
          <w:sz w:val="24"/>
          <w:szCs w:val="24"/>
        </w:rPr>
        <w:t>万元</w:t>
      </w:r>
      <w:r>
        <w:rPr>
          <w:rFonts w:hint="eastAsia" w:eastAsia="宋体"/>
          <w:sz w:val="24"/>
          <w:szCs w:val="24"/>
        </w:rPr>
        <w:t>，其中环保投资19万元</w:t>
      </w:r>
      <w:r>
        <w:rPr>
          <w:rFonts w:eastAsia="宋体"/>
          <w:sz w:val="24"/>
          <w:szCs w:val="24"/>
        </w:rPr>
        <w:t>。</w:t>
      </w:r>
      <w:r>
        <w:rPr>
          <w:rFonts w:hint="eastAsia" w:eastAsia="宋体"/>
          <w:sz w:val="24"/>
          <w:szCs w:val="24"/>
        </w:rPr>
        <w:t>该项目生产能力为年生产石膏贴面板28万平方米，石膏线条80万根，机械设备30台。该项目劳动定员40</w:t>
      </w:r>
      <w:r>
        <w:rPr>
          <w:rFonts w:eastAsia="宋体"/>
          <w:sz w:val="24"/>
          <w:szCs w:val="24"/>
        </w:rPr>
        <w:t>人</w:t>
      </w:r>
      <w:r>
        <w:rPr>
          <w:rFonts w:hint="eastAsia" w:eastAsia="宋体"/>
          <w:sz w:val="24"/>
          <w:szCs w:val="24"/>
        </w:rPr>
        <w:t>，一班工作制，每班8小时，年生产时间300天，2400小时</w:t>
      </w:r>
      <w:r>
        <w:rPr>
          <w:rFonts w:eastAsia="宋体"/>
          <w:sz w:val="24"/>
          <w:szCs w:val="24"/>
        </w:rPr>
        <w:t>。</w:t>
      </w:r>
    </w:p>
    <w:p>
      <w:pPr>
        <w:adjustRightInd/>
        <w:snapToGrid/>
        <w:ind w:firstLine="491" w:firstLineChars="205"/>
        <w:rPr>
          <w:rFonts w:eastAsia="宋体"/>
          <w:sz w:val="24"/>
          <w:szCs w:val="24"/>
        </w:rPr>
      </w:pPr>
      <w:r>
        <w:rPr>
          <w:rFonts w:eastAsia="宋体"/>
          <w:sz w:val="24"/>
          <w:szCs w:val="24"/>
        </w:rPr>
        <w:t>该项目属于新建</w:t>
      </w:r>
      <w:r>
        <w:rPr>
          <w:rFonts w:hint="eastAsia" w:eastAsia="宋体"/>
          <w:sz w:val="24"/>
          <w:szCs w:val="24"/>
        </w:rPr>
        <w:t>（补办环保手续）</w:t>
      </w:r>
      <w:r>
        <w:rPr>
          <w:rFonts w:eastAsia="宋体"/>
          <w:sz w:val="24"/>
          <w:szCs w:val="24"/>
        </w:rPr>
        <w:t>，</w:t>
      </w:r>
      <w:r>
        <w:rPr>
          <w:rFonts w:hint="eastAsia" w:eastAsia="宋体"/>
          <w:sz w:val="24"/>
          <w:szCs w:val="24"/>
        </w:rPr>
        <w:t>2017年8月</w:t>
      </w:r>
      <w:r>
        <w:rPr>
          <w:rFonts w:eastAsia="宋体"/>
          <w:sz w:val="24"/>
          <w:szCs w:val="24"/>
        </w:rPr>
        <w:t>，</w:t>
      </w:r>
      <w:r>
        <w:rPr>
          <w:rFonts w:hint="eastAsia" w:eastAsia="宋体"/>
          <w:sz w:val="24"/>
          <w:szCs w:val="24"/>
        </w:rPr>
        <w:t>企业委托</w:t>
      </w:r>
      <w:r>
        <w:rPr>
          <w:rFonts w:eastAsia="宋体"/>
          <w:sz w:val="24"/>
          <w:szCs w:val="24"/>
        </w:rPr>
        <w:t>宁夏华之洁环境技术有限公司编写完成了《临沂周兴建材有限公司生产加工石膏贴面板、石膏制品和机械加工项目环境影响报告表》。2017年</w:t>
      </w:r>
      <w:r>
        <w:rPr>
          <w:rFonts w:hint="eastAsia" w:eastAsia="宋体"/>
          <w:sz w:val="24"/>
          <w:szCs w:val="24"/>
        </w:rPr>
        <w:t>9</w:t>
      </w:r>
      <w:r>
        <w:rPr>
          <w:rFonts w:eastAsia="宋体"/>
          <w:sz w:val="24"/>
          <w:szCs w:val="24"/>
        </w:rPr>
        <w:t>月</w:t>
      </w:r>
      <w:r>
        <w:rPr>
          <w:rFonts w:hint="eastAsia" w:eastAsia="宋体"/>
          <w:sz w:val="24"/>
          <w:szCs w:val="24"/>
        </w:rPr>
        <w:t>11</w:t>
      </w:r>
      <w:r>
        <w:rPr>
          <w:rFonts w:eastAsia="宋体"/>
          <w:sz w:val="24"/>
          <w:szCs w:val="24"/>
        </w:rPr>
        <w:t>日，临沂市环境保护局高新技术产业开发区分局以临环</w:t>
      </w:r>
      <w:r>
        <w:rPr>
          <w:rFonts w:hint="eastAsia" w:eastAsia="宋体"/>
          <w:sz w:val="24"/>
          <w:szCs w:val="24"/>
        </w:rPr>
        <w:t>高表</w:t>
      </w:r>
      <w:r>
        <w:rPr>
          <w:rFonts w:eastAsia="宋体"/>
          <w:sz w:val="24"/>
          <w:szCs w:val="24"/>
        </w:rPr>
        <w:t>[2017]</w:t>
      </w:r>
      <w:r>
        <w:rPr>
          <w:rFonts w:hint="eastAsia" w:eastAsia="宋体"/>
          <w:sz w:val="24"/>
          <w:szCs w:val="24"/>
        </w:rPr>
        <w:t>62</w:t>
      </w:r>
      <w:r>
        <w:rPr>
          <w:rFonts w:eastAsia="宋体"/>
          <w:sz w:val="24"/>
          <w:szCs w:val="24"/>
        </w:rPr>
        <w:t>号《</w:t>
      </w:r>
      <w:r>
        <w:rPr>
          <w:rFonts w:hint="eastAsia" w:eastAsia="宋体"/>
          <w:sz w:val="24"/>
          <w:szCs w:val="24"/>
        </w:rPr>
        <w:t>关于</w:t>
      </w:r>
      <w:r>
        <w:rPr>
          <w:rFonts w:eastAsia="宋体"/>
          <w:sz w:val="24"/>
          <w:szCs w:val="24"/>
        </w:rPr>
        <w:t>临沂周兴建材有限公司生产加工石膏贴面板、石膏制品和机械加工项目环境影响报告表</w:t>
      </w:r>
      <w:r>
        <w:rPr>
          <w:rFonts w:hint="eastAsia" w:eastAsia="宋体"/>
          <w:sz w:val="24"/>
          <w:szCs w:val="24"/>
        </w:rPr>
        <w:t>的批复</w:t>
      </w:r>
      <w:r>
        <w:rPr>
          <w:rFonts w:eastAsia="宋体"/>
          <w:sz w:val="24"/>
          <w:szCs w:val="24"/>
        </w:rPr>
        <w:t>》对该项目进行了批复。</w:t>
      </w:r>
    </w:p>
    <w:p>
      <w:pPr>
        <w:adjustRightInd/>
        <w:snapToGrid/>
        <w:ind w:firstLine="491" w:firstLineChars="205"/>
        <w:rPr>
          <w:rFonts w:eastAsia="宋体"/>
          <w:sz w:val="24"/>
          <w:szCs w:val="24"/>
        </w:rPr>
      </w:pPr>
      <w:r>
        <w:rPr>
          <w:rFonts w:eastAsia="宋体"/>
          <w:sz w:val="24"/>
          <w:szCs w:val="24"/>
        </w:rPr>
        <w:t>201</w:t>
      </w:r>
      <w:r>
        <w:rPr>
          <w:rFonts w:hint="eastAsia" w:eastAsia="宋体"/>
          <w:sz w:val="24"/>
          <w:szCs w:val="24"/>
        </w:rPr>
        <w:t>7</w:t>
      </w:r>
      <w:r>
        <w:rPr>
          <w:rFonts w:eastAsia="宋体"/>
          <w:sz w:val="24"/>
          <w:szCs w:val="24"/>
        </w:rPr>
        <w:t>年</w:t>
      </w:r>
      <w:r>
        <w:rPr>
          <w:rFonts w:hint="eastAsia" w:eastAsia="宋体"/>
          <w:sz w:val="24"/>
          <w:szCs w:val="24"/>
        </w:rPr>
        <w:t>12</w:t>
      </w:r>
      <w:r>
        <w:rPr>
          <w:rFonts w:eastAsia="宋体"/>
          <w:sz w:val="24"/>
          <w:szCs w:val="24"/>
        </w:rPr>
        <w:t>月，受临沂周兴建材有限公司委托，山东元通监测有限公司承担了该项目的环境保护设施竣工验收监测工作。山东元通监测有限公司</w:t>
      </w:r>
      <w:r>
        <w:rPr>
          <w:rFonts w:hint="eastAsia" w:eastAsia="宋体"/>
          <w:sz w:val="24"/>
          <w:szCs w:val="24"/>
        </w:rPr>
        <w:t>于</w:t>
      </w:r>
      <w:r>
        <w:rPr>
          <w:rFonts w:eastAsia="宋体"/>
          <w:sz w:val="24"/>
          <w:szCs w:val="24"/>
        </w:rPr>
        <w:t>2017年1</w:t>
      </w:r>
      <w:r>
        <w:rPr>
          <w:rFonts w:hint="eastAsia" w:eastAsia="宋体"/>
          <w:sz w:val="24"/>
          <w:szCs w:val="24"/>
        </w:rPr>
        <w:t>2</w:t>
      </w:r>
      <w:r>
        <w:rPr>
          <w:rFonts w:eastAsia="宋体"/>
          <w:sz w:val="24"/>
          <w:szCs w:val="24"/>
        </w:rPr>
        <w:t>月</w:t>
      </w:r>
      <w:r>
        <w:rPr>
          <w:rFonts w:hint="eastAsia" w:eastAsia="宋体"/>
          <w:sz w:val="24"/>
          <w:szCs w:val="24"/>
        </w:rPr>
        <w:t>21</w:t>
      </w:r>
      <w:r>
        <w:rPr>
          <w:rFonts w:eastAsia="宋体"/>
          <w:sz w:val="24"/>
          <w:szCs w:val="24"/>
        </w:rPr>
        <w:t>日至</w:t>
      </w:r>
      <w:r>
        <w:rPr>
          <w:rFonts w:hint="eastAsia" w:eastAsia="宋体"/>
          <w:sz w:val="24"/>
          <w:szCs w:val="24"/>
        </w:rPr>
        <w:t>22</w:t>
      </w:r>
      <w:r>
        <w:rPr>
          <w:rFonts w:eastAsia="宋体"/>
          <w:sz w:val="24"/>
          <w:szCs w:val="24"/>
        </w:rPr>
        <w:t>日对该项目进行了现场监测和环境管理检查，在此基础上编制了本验收监测报告。</w:t>
      </w:r>
    </w:p>
    <w:p>
      <w:pPr>
        <w:adjustRightInd/>
        <w:snapToGrid/>
        <w:ind w:firstLine="480" w:firstLineChars="200"/>
        <w:rPr>
          <w:rFonts w:eastAsia="宋体"/>
          <w:sz w:val="24"/>
          <w:szCs w:val="24"/>
        </w:rPr>
      </w:pPr>
      <w:r>
        <w:rPr>
          <w:rFonts w:eastAsia="宋体"/>
          <w:sz w:val="24"/>
          <w:szCs w:val="24"/>
        </w:rPr>
        <w:t>在报告表编制过程中，我们得到了各级领导和专家的大力支持和热情指导，也得到了企业的积极配合，在此表示衷心地感谢！</w:t>
      </w:r>
    </w:p>
    <w:p>
      <w:pPr>
        <w:jc w:val="center"/>
        <w:rPr>
          <w:sz w:val="24"/>
          <w:szCs w:val="24"/>
        </w:rPr>
      </w:pPr>
    </w:p>
    <w:p>
      <w:pPr>
        <w:jc w:val="center"/>
        <w:rPr>
          <w:sz w:val="40"/>
        </w:rPr>
        <w:sectPr>
          <w:pgSz w:w="11906" w:h="16838"/>
          <w:pgMar w:top="1440" w:right="1800" w:bottom="1440" w:left="1800" w:header="737" w:footer="992" w:gutter="0"/>
          <w:pgNumType w:fmt="upperRoman" w:start="1"/>
          <w:cols w:space="425" w:num="1"/>
          <w:docGrid w:type="lines" w:linePitch="354" w:charSpace="0"/>
        </w:sectPr>
      </w:pPr>
    </w:p>
    <w:p>
      <w:pPr>
        <w:jc w:val="center"/>
        <w:rPr>
          <w:sz w:val="40"/>
        </w:rPr>
      </w:pPr>
      <w:r>
        <w:rPr>
          <w:rFonts w:hint="eastAsia"/>
          <w:sz w:val="40"/>
        </w:rPr>
        <w:t>目  录</w:t>
      </w:r>
    </w:p>
    <w:p>
      <w:pPr>
        <w:pStyle w:val="30"/>
        <w:tabs>
          <w:tab w:val="right" w:leader="dot" w:pos="8296"/>
        </w:tabs>
        <w:rPr>
          <w:rFonts w:cstheme="minorBidi"/>
          <w:b w:val="0"/>
          <w:bCs w:val="0"/>
          <w:caps w:val="0"/>
          <w:sz w:val="32"/>
          <w:szCs w:val="22"/>
        </w:rPr>
      </w:pPr>
      <w:r>
        <w:rPr>
          <w:rFonts w:asciiTheme="majorHAnsi" w:hAnsiTheme="majorHAnsi"/>
          <w:b w:val="0"/>
          <w:caps w:val="0"/>
          <w:sz w:val="32"/>
          <w:szCs w:val="24"/>
        </w:rPr>
        <w:fldChar w:fldCharType="begin"/>
      </w:r>
      <w:r>
        <w:rPr>
          <w:rFonts w:asciiTheme="majorHAnsi" w:hAnsiTheme="majorHAnsi"/>
          <w:b w:val="0"/>
          <w:caps w:val="0"/>
          <w:sz w:val="32"/>
          <w:szCs w:val="24"/>
        </w:rPr>
        <w:instrText xml:space="preserve"> TOC \o "2-2" \h \z \t "标题 1,1" </w:instrText>
      </w:r>
      <w:r>
        <w:rPr>
          <w:rFonts w:asciiTheme="majorHAnsi" w:hAnsiTheme="majorHAnsi"/>
          <w:b w:val="0"/>
          <w:caps w:val="0"/>
          <w:sz w:val="32"/>
          <w:szCs w:val="24"/>
        </w:rPr>
        <w:fldChar w:fldCharType="separate"/>
      </w:r>
      <w:r>
        <w:fldChar w:fldCharType="begin"/>
      </w:r>
      <w:r>
        <w:instrText xml:space="preserve"> HYPERLINK \l "_Toc502699350" </w:instrText>
      </w:r>
      <w:r>
        <w:fldChar w:fldCharType="separate"/>
      </w:r>
      <w:r>
        <w:rPr>
          <w:rStyle w:val="45"/>
          <w:sz w:val="28"/>
        </w:rPr>
        <w:t xml:space="preserve">1 </w:t>
      </w:r>
      <w:r>
        <w:rPr>
          <w:rStyle w:val="45"/>
          <w:rFonts w:hint="eastAsia"/>
          <w:sz w:val="28"/>
        </w:rPr>
        <w:t>验收项目概况</w:t>
      </w:r>
      <w:r>
        <w:rPr>
          <w:sz w:val="28"/>
        </w:rPr>
        <w:tab/>
      </w:r>
      <w:r>
        <w:rPr>
          <w:sz w:val="28"/>
        </w:rPr>
        <w:fldChar w:fldCharType="begin"/>
      </w:r>
      <w:r>
        <w:rPr>
          <w:sz w:val="28"/>
        </w:rPr>
        <w:instrText xml:space="preserve"> PAGEREF _Toc502699350 \h </w:instrText>
      </w:r>
      <w:r>
        <w:rPr>
          <w:sz w:val="28"/>
        </w:rPr>
        <w:fldChar w:fldCharType="separate"/>
      </w:r>
      <w:r>
        <w:rPr>
          <w:sz w:val="28"/>
        </w:rPr>
        <w:t>1</w:t>
      </w:r>
      <w:r>
        <w:rPr>
          <w:sz w:val="28"/>
        </w:rPr>
        <w:fldChar w:fldCharType="end"/>
      </w:r>
      <w:r>
        <w:rPr>
          <w:sz w:val="28"/>
        </w:rPr>
        <w:fldChar w:fldCharType="end"/>
      </w:r>
    </w:p>
    <w:p>
      <w:pPr>
        <w:pStyle w:val="30"/>
        <w:tabs>
          <w:tab w:val="right" w:leader="dot" w:pos="8296"/>
        </w:tabs>
        <w:rPr>
          <w:rFonts w:cstheme="minorBidi"/>
          <w:b w:val="0"/>
          <w:bCs w:val="0"/>
          <w:caps w:val="0"/>
          <w:sz w:val="32"/>
          <w:szCs w:val="22"/>
        </w:rPr>
      </w:pPr>
      <w:r>
        <w:fldChar w:fldCharType="begin"/>
      </w:r>
      <w:r>
        <w:instrText xml:space="preserve"> HYPERLINK \l "_Toc502699351" </w:instrText>
      </w:r>
      <w:r>
        <w:fldChar w:fldCharType="separate"/>
      </w:r>
      <w:r>
        <w:rPr>
          <w:rStyle w:val="45"/>
          <w:sz w:val="28"/>
        </w:rPr>
        <w:t>2</w:t>
      </w:r>
      <w:r>
        <w:rPr>
          <w:rStyle w:val="45"/>
          <w:rFonts w:hint="eastAsia"/>
          <w:sz w:val="28"/>
        </w:rPr>
        <w:t>验收依据</w:t>
      </w:r>
      <w:r>
        <w:rPr>
          <w:sz w:val="28"/>
        </w:rPr>
        <w:tab/>
      </w:r>
      <w:r>
        <w:rPr>
          <w:sz w:val="28"/>
        </w:rPr>
        <w:fldChar w:fldCharType="begin"/>
      </w:r>
      <w:r>
        <w:rPr>
          <w:sz w:val="28"/>
        </w:rPr>
        <w:instrText xml:space="preserve"> PAGEREF _Toc502699351 \h </w:instrText>
      </w:r>
      <w:r>
        <w:rPr>
          <w:sz w:val="28"/>
        </w:rPr>
        <w:fldChar w:fldCharType="separate"/>
      </w:r>
      <w:r>
        <w:rPr>
          <w:sz w:val="28"/>
        </w:rPr>
        <w:t>2</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"_Toc502699352" </w:instrText>
      </w:r>
      <w:r>
        <w:fldChar w:fldCharType="separate"/>
      </w:r>
      <w:r>
        <w:rPr>
          <w:rStyle w:val="45"/>
          <w:sz w:val="28"/>
        </w:rPr>
        <w:t>2.1</w:t>
      </w:r>
      <w:r>
        <w:rPr>
          <w:rStyle w:val="45"/>
          <w:rFonts w:hint="eastAsia"/>
          <w:sz w:val="28"/>
        </w:rPr>
        <w:t>建设项目环境保护相关法律、法规、规章、标准和规范</w:t>
      </w:r>
      <w:r>
        <w:rPr>
          <w:sz w:val="28"/>
        </w:rPr>
        <w:tab/>
      </w:r>
      <w:r>
        <w:rPr>
          <w:sz w:val="28"/>
        </w:rPr>
        <w:fldChar w:fldCharType="begin"/>
      </w:r>
      <w:r>
        <w:rPr>
          <w:sz w:val="28"/>
        </w:rPr>
        <w:instrText xml:space="preserve"> PAGEREF _Toc502699352 \h </w:instrText>
      </w:r>
      <w:r>
        <w:rPr>
          <w:sz w:val="28"/>
        </w:rPr>
        <w:fldChar w:fldCharType="separate"/>
      </w:r>
      <w:r>
        <w:rPr>
          <w:sz w:val="28"/>
        </w:rPr>
        <w:t>2</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"_Toc502699353" </w:instrText>
      </w:r>
      <w:r>
        <w:fldChar w:fldCharType="separate"/>
      </w:r>
      <w:r>
        <w:rPr>
          <w:rStyle w:val="45"/>
          <w:sz w:val="28"/>
        </w:rPr>
        <w:t>2.2</w:t>
      </w:r>
      <w:r>
        <w:rPr>
          <w:rStyle w:val="45"/>
          <w:rFonts w:hint="eastAsia"/>
          <w:sz w:val="28"/>
        </w:rPr>
        <w:t>建设项目竣工环境保护验收技术规范</w:t>
      </w:r>
      <w:r>
        <w:rPr>
          <w:sz w:val="28"/>
        </w:rPr>
        <w:tab/>
      </w:r>
      <w:r>
        <w:rPr>
          <w:sz w:val="28"/>
        </w:rPr>
        <w:fldChar w:fldCharType="begin"/>
      </w:r>
      <w:r>
        <w:rPr>
          <w:sz w:val="28"/>
        </w:rPr>
        <w:instrText xml:space="preserve"> PAGEREF _Toc502699353 \h </w:instrText>
      </w:r>
      <w:r>
        <w:rPr>
          <w:sz w:val="28"/>
        </w:rPr>
        <w:fldChar w:fldCharType="separate"/>
      </w:r>
      <w:r>
        <w:rPr>
          <w:sz w:val="28"/>
        </w:rPr>
        <w:t>3</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"_Toc502699354" </w:instrText>
      </w:r>
      <w:r>
        <w:fldChar w:fldCharType="separate"/>
      </w:r>
      <w:r>
        <w:rPr>
          <w:rStyle w:val="45"/>
          <w:sz w:val="28"/>
        </w:rPr>
        <w:t>2.3</w:t>
      </w:r>
      <w:r>
        <w:rPr>
          <w:rStyle w:val="45"/>
          <w:rFonts w:hint="eastAsia"/>
          <w:sz w:val="28"/>
        </w:rPr>
        <w:t>建设项目环境影响报告表及审批部门审批决定</w:t>
      </w:r>
      <w:r>
        <w:rPr>
          <w:sz w:val="28"/>
        </w:rPr>
        <w:tab/>
      </w:r>
      <w:r>
        <w:rPr>
          <w:sz w:val="28"/>
        </w:rPr>
        <w:fldChar w:fldCharType="begin"/>
      </w:r>
      <w:r>
        <w:rPr>
          <w:sz w:val="28"/>
        </w:rPr>
        <w:instrText xml:space="preserve"> PAGEREF _Toc502699354 \h </w:instrText>
      </w:r>
      <w:r>
        <w:rPr>
          <w:sz w:val="28"/>
        </w:rPr>
        <w:fldChar w:fldCharType="separate"/>
      </w:r>
      <w:r>
        <w:rPr>
          <w:sz w:val="28"/>
        </w:rPr>
        <w:t>4</w:t>
      </w:r>
      <w:r>
        <w:rPr>
          <w:sz w:val="28"/>
        </w:rPr>
        <w:fldChar w:fldCharType="end"/>
      </w:r>
      <w:r>
        <w:rPr>
          <w:sz w:val="28"/>
        </w:rPr>
        <w:fldChar w:fldCharType="end"/>
      </w:r>
    </w:p>
    <w:p>
      <w:pPr>
        <w:pStyle w:val="30"/>
        <w:tabs>
          <w:tab w:val="right" w:leader="dot" w:pos="8296"/>
        </w:tabs>
        <w:rPr>
          <w:rFonts w:cstheme="minorBidi"/>
          <w:b w:val="0"/>
          <w:bCs w:val="0"/>
          <w:caps w:val="0"/>
          <w:sz w:val="32"/>
          <w:szCs w:val="22"/>
        </w:rPr>
      </w:pPr>
      <w:r>
        <w:fldChar w:fldCharType="begin"/>
      </w:r>
      <w:r>
        <w:instrText xml:space="preserve"> HYPERLINK \l "_Toc502699355" </w:instrText>
      </w:r>
      <w:r>
        <w:fldChar w:fldCharType="separate"/>
      </w:r>
      <w:r>
        <w:rPr>
          <w:rStyle w:val="45"/>
          <w:sz w:val="28"/>
        </w:rPr>
        <w:t>3</w:t>
      </w:r>
      <w:r>
        <w:rPr>
          <w:rStyle w:val="45"/>
          <w:rFonts w:hint="eastAsia"/>
          <w:sz w:val="28"/>
        </w:rPr>
        <w:t>工程建设情况</w:t>
      </w:r>
      <w:r>
        <w:rPr>
          <w:sz w:val="28"/>
        </w:rPr>
        <w:tab/>
      </w:r>
      <w:r>
        <w:rPr>
          <w:sz w:val="28"/>
        </w:rPr>
        <w:fldChar w:fldCharType="begin"/>
      </w:r>
      <w:r>
        <w:rPr>
          <w:sz w:val="28"/>
        </w:rPr>
        <w:instrText xml:space="preserve"> PAGEREF _Toc502699355 \h </w:instrText>
      </w:r>
      <w:r>
        <w:rPr>
          <w:sz w:val="28"/>
        </w:rPr>
        <w:fldChar w:fldCharType="separate"/>
      </w:r>
      <w:r>
        <w:rPr>
          <w:sz w:val="28"/>
        </w:rPr>
        <w:t>4</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"_Toc502699356" </w:instrText>
      </w:r>
      <w:r>
        <w:fldChar w:fldCharType="separate"/>
      </w:r>
      <w:r>
        <w:rPr>
          <w:rStyle w:val="45"/>
          <w:sz w:val="28"/>
        </w:rPr>
        <w:t>3.1</w:t>
      </w:r>
      <w:r>
        <w:rPr>
          <w:rStyle w:val="45"/>
          <w:rFonts w:hint="eastAsia"/>
          <w:sz w:val="28"/>
        </w:rPr>
        <w:t>地理位置及平面布置</w:t>
      </w:r>
      <w:r>
        <w:rPr>
          <w:sz w:val="28"/>
        </w:rPr>
        <w:tab/>
      </w:r>
      <w:r>
        <w:rPr>
          <w:sz w:val="28"/>
        </w:rPr>
        <w:fldChar w:fldCharType="begin"/>
      </w:r>
      <w:r>
        <w:rPr>
          <w:sz w:val="28"/>
        </w:rPr>
        <w:instrText xml:space="preserve"> PAGEREF _Toc502699356 \h </w:instrText>
      </w:r>
      <w:r>
        <w:rPr>
          <w:sz w:val="28"/>
        </w:rPr>
        <w:fldChar w:fldCharType="separate"/>
      </w:r>
      <w:r>
        <w:rPr>
          <w:sz w:val="28"/>
        </w:rPr>
        <w:t>4</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"_Toc502699357" </w:instrText>
      </w:r>
      <w:r>
        <w:fldChar w:fldCharType="separate"/>
      </w:r>
      <w:r>
        <w:rPr>
          <w:rStyle w:val="45"/>
          <w:sz w:val="28"/>
        </w:rPr>
        <w:t>3.2</w:t>
      </w:r>
      <w:r>
        <w:rPr>
          <w:rStyle w:val="45"/>
          <w:rFonts w:hint="eastAsia"/>
          <w:sz w:val="28"/>
        </w:rPr>
        <w:t>建设内容</w:t>
      </w:r>
      <w:r>
        <w:rPr>
          <w:sz w:val="28"/>
        </w:rPr>
        <w:tab/>
      </w:r>
      <w:r>
        <w:rPr>
          <w:sz w:val="28"/>
        </w:rPr>
        <w:fldChar w:fldCharType="begin"/>
      </w:r>
      <w:r>
        <w:rPr>
          <w:sz w:val="28"/>
        </w:rPr>
        <w:instrText xml:space="preserve"> PAGEREF _Toc502699357 \h </w:instrText>
      </w:r>
      <w:r>
        <w:rPr>
          <w:sz w:val="28"/>
        </w:rPr>
        <w:fldChar w:fldCharType="separate"/>
      </w:r>
      <w:r>
        <w:rPr>
          <w:sz w:val="28"/>
        </w:rPr>
        <w:t>8</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"_Toc502699358" </w:instrText>
      </w:r>
      <w:r>
        <w:fldChar w:fldCharType="separate"/>
      </w:r>
      <w:r>
        <w:rPr>
          <w:rStyle w:val="45"/>
          <w:sz w:val="28"/>
        </w:rPr>
        <w:t xml:space="preserve">3.3 </w:t>
      </w:r>
      <w:r>
        <w:rPr>
          <w:rStyle w:val="45"/>
          <w:rFonts w:hint="eastAsia"/>
          <w:sz w:val="28"/>
        </w:rPr>
        <w:t>主要原辅材料及燃料</w:t>
      </w:r>
      <w:r>
        <w:rPr>
          <w:sz w:val="28"/>
        </w:rPr>
        <w:tab/>
      </w:r>
      <w:r>
        <w:rPr>
          <w:sz w:val="28"/>
        </w:rPr>
        <w:fldChar w:fldCharType="begin"/>
      </w:r>
      <w:r>
        <w:rPr>
          <w:sz w:val="28"/>
        </w:rPr>
        <w:instrText xml:space="preserve"> PAGEREF _Toc502699358 \h </w:instrText>
      </w:r>
      <w:r>
        <w:rPr>
          <w:sz w:val="28"/>
        </w:rPr>
        <w:fldChar w:fldCharType="separate"/>
      </w:r>
      <w:r>
        <w:rPr>
          <w:sz w:val="28"/>
        </w:rPr>
        <w:t>9</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"_Toc502699359" </w:instrText>
      </w:r>
      <w:r>
        <w:fldChar w:fldCharType="separate"/>
      </w:r>
      <w:r>
        <w:rPr>
          <w:rStyle w:val="45"/>
          <w:sz w:val="28"/>
        </w:rPr>
        <w:t xml:space="preserve">3.4 </w:t>
      </w:r>
      <w:r>
        <w:rPr>
          <w:rStyle w:val="45"/>
          <w:rFonts w:hint="eastAsia"/>
          <w:sz w:val="28"/>
        </w:rPr>
        <w:t>水源及水平衡</w:t>
      </w:r>
      <w:r>
        <w:rPr>
          <w:sz w:val="28"/>
        </w:rPr>
        <w:tab/>
      </w:r>
      <w:r>
        <w:rPr>
          <w:sz w:val="28"/>
        </w:rPr>
        <w:fldChar w:fldCharType="begin"/>
      </w:r>
      <w:r>
        <w:rPr>
          <w:sz w:val="28"/>
        </w:rPr>
        <w:instrText xml:space="preserve"> PAGEREF _Toc502699359 \h </w:instrText>
      </w:r>
      <w:r>
        <w:rPr>
          <w:sz w:val="28"/>
        </w:rPr>
        <w:fldChar w:fldCharType="separate"/>
      </w:r>
      <w:r>
        <w:rPr>
          <w:sz w:val="28"/>
        </w:rPr>
        <w:t>11</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"_Toc502699360" </w:instrText>
      </w:r>
      <w:r>
        <w:fldChar w:fldCharType="separate"/>
      </w:r>
      <w:r>
        <w:rPr>
          <w:rStyle w:val="45"/>
          <w:sz w:val="28"/>
        </w:rPr>
        <w:t>3.5</w:t>
      </w:r>
      <w:r>
        <w:rPr>
          <w:rStyle w:val="45"/>
          <w:rFonts w:hint="eastAsia"/>
          <w:sz w:val="28"/>
        </w:rPr>
        <w:t>生产工艺及产污环节</w:t>
      </w:r>
      <w:r>
        <w:rPr>
          <w:sz w:val="28"/>
        </w:rPr>
        <w:tab/>
      </w:r>
      <w:r>
        <w:rPr>
          <w:sz w:val="28"/>
        </w:rPr>
        <w:fldChar w:fldCharType="begin"/>
      </w:r>
      <w:r>
        <w:rPr>
          <w:sz w:val="28"/>
        </w:rPr>
        <w:instrText xml:space="preserve"> PAGEREF _Toc502699360 \h </w:instrText>
      </w:r>
      <w:r>
        <w:rPr>
          <w:sz w:val="28"/>
        </w:rPr>
        <w:fldChar w:fldCharType="separate"/>
      </w:r>
      <w:r>
        <w:rPr>
          <w:sz w:val="28"/>
        </w:rPr>
        <w:t>12</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"_Toc502699361" </w:instrText>
      </w:r>
      <w:r>
        <w:fldChar w:fldCharType="separate"/>
      </w:r>
      <w:r>
        <w:rPr>
          <w:rStyle w:val="45"/>
          <w:sz w:val="28"/>
        </w:rPr>
        <w:t>3.6</w:t>
      </w:r>
      <w:r>
        <w:rPr>
          <w:rStyle w:val="45"/>
          <w:rFonts w:hint="eastAsia"/>
          <w:sz w:val="28"/>
        </w:rPr>
        <w:t>项目变动情况</w:t>
      </w:r>
      <w:r>
        <w:rPr>
          <w:sz w:val="28"/>
        </w:rPr>
        <w:tab/>
      </w:r>
      <w:r>
        <w:rPr>
          <w:sz w:val="28"/>
        </w:rPr>
        <w:fldChar w:fldCharType="begin"/>
      </w:r>
      <w:r>
        <w:rPr>
          <w:sz w:val="28"/>
        </w:rPr>
        <w:instrText xml:space="preserve"> PAGEREF _Toc502699361 \h </w:instrText>
      </w:r>
      <w:r>
        <w:rPr>
          <w:sz w:val="28"/>
        </w:rPr>
        <w:fldChar w:fldCharType="separate"/>
      </w:r>
      <w:r>
        <w:rPr>
          <w:sz w:val="28"/>
        </w:rPr>
        <w:t>15</w:t>
      </w:r>
      <w:r>
        <w:rPr>
          <w:sz w:val="28"/>
        </w:rPr>
        <w:fldChar w:fldCharType="end"/>
      </w:r>
      <w:r>
        <w:rPr>
          <w:sz w:val="28"/>
        </w:rPr>
        <w:fldChar w:fldCharType="end"/>
      </w:r>
    </w:p>
    <w:p>
      <w:pPr>
        <w:pStyle w:val="30"/>
        <w:tabs>
          <w:tab w:val="right" w:leader="dot" w:pos="8296"/>
        </w:tabs>
        <w:rPr>
          <w:rFonts w:cstheme="minorBidi"/>
          <w:b w:val="0"/>
          <w:bCs w:val="0"/>
          <w:caps w:val="0"/>
          <w:sz w:val="32"/>
          <w:szCs w:val="22"/>
        </w:rPr>
      </w:pPr>
      <w:r>
        <w:fldChar w:fldCharType="begin"/>
      </w:r>
      <w:r>
        <w:instrText xml:space="preserve"> HYPERLINK \l "_Toc502699362" </w:instrText>
      </w:r>
      <w:r>
        <w:fldChar w:fldCharType="separate"/>
      </w:r>
      <w:r>
        <w:rPr>
          <w:rStyle w:val="45"/>
          <w:sz w:val="28"/>
        </w:rPr>
        <w:t>4</w:t>
      </w:r>
      <w:r>
        <w:rPr>
          <w:rStyle w:val="45"/>
          <w:rFonts w:hint="eastAsia"/>
          <w:sz w:val="28"/>
        </w:rPr>
        <w:t>环境保护设施</w:t>
      </w:r>
      <w:r>
        <w:rPr>
          <w:sz w:val="28"/>
        </w:rPr>
        <w:tab/>
      </w:r>
      <w:r>
        <w:rPr>
          <w:sz w:val="28"/>
        </w:rPr>
        <w:fldChar w:fldCharType="begin"/>
      </w:r>
      <w:r>
        <w:rPr>
          <w:sz w:val="28"/>
        </w:rPr>
        <w:instrText xml:space="preserve"> PAGEREF _Toc502699362 \h </w:instrText>
      </w:r>
      <w:r>
        <w:rPr>
          <w:sz w:val="28"/>
        </w:rPr>
        <w:fldChar w:fldCharType="separate"/>
      </w:r>
      <w:r>
        <w:rPr>
          <w:sz w:val="28"/>
        </w:rPr>
        <w:t>16</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"_Toc502699363" </w:instrText>
      </w:r>
      <w:r>
        <w:fldChar w:fldCharType="separate"/>
      </w:r>
      <w:r>
        <w:rPr>
          <w:rStyle w:val="45"/>
          <w:sz w:val="28"/>
        </w:rPr>
        <w:t>4.1</w:t>
      </w:r>
      <w:r>
        <w:rPr>
          <w:rStyle w:val="45"/>
          <w:rFonts w:hint="eastAsia"/>
          <w:sz w:val="28"/>
        </w:rPr>
        <w:t>污染物治理</w:t>
      </w:r>
      <w:r>
        <w:rPr>
          <w:rStyle w:val="45"/>
          <w:sz w:val="28"/>
        </w:rPr>
        <w:t>/</w:t>
      </w:r>
      <w:r>
        <w:rPr>
          <w:rStyle w:val="45"/>
          <w:rFonts w:hint="eastAsia"/>
          <w:sz w:val="28"/>
        </w:rPr>
        <w:t>处置设施</w:t>
      </w:r>
      <w:r>
        <w:rPr>
          <w:sz w:val="28"/>
        </w:rPr>
        <w:tab/>
      </w:r>
      <w:r>
        <w:rPr>
          <w:sz w:val="28"/>
        </w:rPr>
        <w:fldChar w:fldCharType="begin"/>
      </w:r>
      <w:r>
        <w:rPr>
          <w:sz w:val="28"/>
        </w:rPr>
        <w:instrText xml:space="preserve"> PAGEREF _Toc502699363 \h </w:instrText>
      </w:r>
      <w:r>
        <w:rPr>
          <w:sz w:val="28"/>
        </w:rPr>
        <w:fldChar w:fldCharType="separate"/>
      </w:r>
      <w:r>
        <w:rPr>
          <w:sz w:val="28"/>
        </w:rPr>
        <w:t>16</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"_Toc502699364" </w:instrText>
      </w:r>
      <w:r>
        <w:fldChar w:fldCharType="separate"/>
      </w:r>
      <w:r>
        <w:rPr>
          <w:rStyle w:val="45"/>
          <w:sz w:val="28"/>
        </w:rPr>
        <w:t>4.2</w:t>
      </w:r>
      <w:r>
        <w:rPr>
          <w:rStyle w:val="45"/>
          <w:rFonts w:hint="eastAsia"/>
          <w:sz w:val="28"/>
        </w:rPr>
        <w:t>其他环保设施</w:t>
      </w:r>
      <w:r>
        <w:rPr>
          <w:sz w:val="28"/>
        </w:rPr>
        <w:tab/>
      </w:r>
      <w:r>
        <w:rPr>
          <w:sz w:val="28"/>
        </w:rPr>
        <w:fldChar w:fldCharType="begin"/>
      </w:r>
      <w:r>
        <w:rPr>
          <w:sz w:val="28"/>
        </w:rPr>
        <w:instrText xml:space="preserve"> PAGEREF _Toc502699364 \h </w:instrText>
      </w:r>
      <w:r>
        <w:rPr>
          <w:sz w:val="28"/>
        </w:rPr>
        <w:fldChar w:fldCharType="separate"/>
      </w:r>
      <w:r>
        <w:rPr>
          <w:sz w:val="28"/>
        </w:rPr>
        <w:t>21</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"_Toc502699365" </w:instrText>
      </w:r>
      <w:r>
        <w:fldChar w:fldCharType="separate"/>
      </w:r>
      <w:r>
        <w:rPr>
          <w:rStyle w:val="45"/>
          <w:sz w:val="28"/>
        </w:rPr>
        <w:t>4.3</w:t>
      </w:r>
      <w:r>
        <w:rPr>
          <w:rStyle w:val="45"/>
          <w:rFonts w:hint="eastAsia"/>
          <w:sz w:val="28"/>
        </w:rPr>
        <w:t>环保设施投资及</w:t>
      </w:r>
      <w:r>
        <w:rPr>
          <w:rStyle w:val="45"/>
          <w:sz w:val="28"/>
        </w:rPr>
        <w:t>“</w:t>
      </w:r>
      <w:r>
        <w:rPr>
          <w:rStyle w:val="45"/>
          <w:rFonts w:hint="eastAsia"/>
          <w:sz w:val="28"/>
        </w:rPr>
        <w:t>三同时</w:t>
      </w:r>
      <w:r>
        <w:rPr>
          <w:rStyle w:val="45"/>
          <w:sz w:val="28"/>
        </w:rPr>
        <w:t>”</w:t>
      </w:r>
      <w:r>
        <w:rPr>
          <w:rStyle w:val="45"/>
          <w:rFonts w:hint="eastAsia"/>
          <w:sz w:val="28"/>
        </w:rPr>
        <w:t>落实情况</w:t>
      </w:r>
      <w:r>
        <w:rPr>
          <w:sz w:val="28"/>
        </w:rPr>
        <w:tab/>
      </w:r>
      <w:r>
        <w:rPr>
          <w:sz w:val="28"/>
        </w:rPr>
        <w:fldChar w:fldCharType="begin"/>
      </w:r>
      <w:r>
        <w:rPr>
          <w:sz w:val="28"/>
        </w:rPr>
        <w:instrText xml:space="preserve"> PAGEREF _Toc502699365 \h </w:instrText>
      </w:r>
      <w:r>
        <w:rPr>
          <w:sz w:val="28"/>
        </w:rPr>
        <w:fldChar w:fldCharType="separate"/>
      </w:r>
      <w:r>
        <w:rPr>
          <w:sz w:val="28"/>
        </w:rPr>
        <w:t>22</w:t>
      </w:r>
      <w:r>
        <w:rPr>
          <w:sz w:val="28"/>
        </w:rPr>
        <w:fldChar w:fldCharType="end"/>
      </w:r>
      <w:r>
        <w:rPr>
          <w:sz w:val="28"/>
        </w:rPr>
        <w:fldChar w:fldCharType="end"/>
      </w:r>
    </w:p>
    <w:p>
      <w:pPr>
        <w:pStyle w:val="30"/>
        <w:tabs>
          <w:tab w:val="right" w:leader="dot" w:pos="8296"/>
        </w:tabs>
        <w:rPr>
          <w:rFonts w:cstheme="minorBidi"/>
          <w:b w:val="0"/>
          <w:bCs w:val="0"/>
          <w:caps w:val="0"/>
          <w:sz w:val="32"/>
          <w:szCs w:val="22"/>
        </w:rPr>
      </w:pPr>
      <w:r>
        <w:fldChar w:fldCharType="begin"/>
      </w:r>
      <w:r>
        <w:instrText xml:space="preserve"> HYPERLINK \l "_Toc502699366" </w:instrText>
      </w:r>
      <w:r>
        <w:fldChar w:fldCharType="separate"/>
      </w:r>
      <w:r>
        <w:rPr>
          <w:rStyle w:val="45"/>
          <w:sz w:val="28"/>
        </w:rPr>
        <w:t>5</w:t>
      </w:r>
      <w:r>
        <w:rPr>
          <w:rStyle w:val="45"/>
          <w:rFonts w:hint="eastAsia"/>
          <w:sz w:val="28"/>
        </w:rPr>
        <w:t>建设项目环评报告表的主要结论与建议及审批部门审批决定</w:t>
      </w:r>
      <w:r>
        <w:rPr>
          <w:sz w:val="28"/>
        </w:rPr>
        <w:tab/>
      </w:r>
      <w:r>
        <w:rPr>
          <w:sz w:val="28"/>
        </w:rPr>
        <w:fldChar w:fldCharType="begin"/>
      </w:r>
      <w:r>
        <w:rPr>
          <w:sz w:val="28"/>
        </w:rPr>
        <w:instrText xml:space="preserve"> PAGEREF _Toc502699366 \h </w:instrText>
      </w:r>
      <w:r>
        <w:rPr>
          <w:sz w:val="28"/>
        </w:rPr>
        <w:fldChar w:fldCharType="separate"/>
      </w:r>
      <w:r>
        <w:rPr>
          <w:sz w:val="28"/>
        </w:rPr>
        <w:t>24</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"_Toc502699367" </w:instrText>
      </w:r>
      <w:r>
        <w:fldChar w:fldCharType="separate"/>
      </w:r>
      <w:r>
        <w:rPr>
          <w:rStyle w:val="45"/>
          <w:sz w:val="28"/>
        </w:rPr>
        <w:t>5.1</w:t>
      </w:r>
      <w:r>
        <w:rPr>
          <w:rStyle w:val="45"/>
          <w:rFonts w:hint="eastAsia"/>
          <w:sz w:val="28"/>
        </w:rPr>
        <w:t>建设项目环评报告表的主要结论与建议</w:t>
      </w:r>
      <w:r>
        <w:rPr>
          <w:sz w:val="28"/>
        </w:rPr>
        <w:tab/>
      </w:r>
      <w:r>
        <w:rPr>
          <w:sz w:val="28"/>
        </w:rPr>
        <w:fldChar w:fldCharType="begin"/>
      </w:r>
      <w:r>
        <w:rPr>
          <w:sz w:val="28"/>
        </w:rPr>
        <w:instrText xml:space="preserve"> PAGEREF _Toc502699367 \h </w:instrText>
      </w:r>
      <w:r>
        <w:rPr>
          <w:sz w:val="28"/>
        </w:rPr>
        <w:fldChar w:fldCharType="separate"/>
      </w:r>
      <w:r>
        <w:rPr>
          <w:sz w:val="28"/>
        </w:rPr>
        <w:t>24</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"_Toc502699368" </w:instrText>
      </w:r>
      <w:r>
        <w:fldChar w:fldCharType="separate"/>
      </w:r>
      <w:r>
        <w:rPr>
          <w:rStyle w:val="45"/>
          <w:sz w:val="28"/>
        </w:rPr>
        <w:t>5.2</w:t>
      </w:r>
      <w:r>
        <w:rPr>
          <w:rStyle w:val="45"/>
          <w:rFonts w:hint="eastAsia"/>
          <w:sz w:val="28"/>
        </w:rPr>
        <w:t>审批部门审批决定</w:t>
      </w:r>
      <w:r>
        <w:rPr>
          <w:sz w:val="28"/>
        </w:rPr>
        <w:tab/>
      </w:r>
      <w:r>
        <w:rPr>
          <w:sz w:val="28"/>
        </w:rPr>
        <w:fldChar w:fldCharType="begin"/>
      </w:r>
      <w:r>
        <w:rPr>
          <w:sz w:val="28"/>
        </w:rPr>
        <w:instrText xml:space="preserve"> PAGEREF _Toc502699368 \h </w:instrText>
      </w:r>
      <w:r>
        <w:rPr>
          <w:sz w:val="28"/>
        </w:rPr>
        <w:fldChar w:fldCharType="separate"/>
      </w:r>
      <w:r>
        <w:rPr>
          <w:sz w:val="28"/>
        </w:rPr>
        <w:t>24</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"_Toc502699369" </w:instrText>
      </w:r>
      <w:r>
        <w:fldChar w:fldCharType="separate"/>
      </w:r>
      <w:r>
        <w:rPr>
          <w:rStyle w:val="45"/>
          <w:sz w:val="28"/>
        </w:rPr>
        <w:t>5.3</w:t>
      </w:r>
      <w:r>
        <w:rPr>
          <w:rStyle w:val="45"/>
          <w:rFonts w:hint="eastAsia"/>
          <w:sz w:val="28"/>
        </w:rPr>
        <w:t>环评批复落实情况</w:t>
      </w:r>
      <w:r>
        <w:rPr>
          <w:sz w:val="28"/>
        </w:rPr>
        <w:tab/>
      </w:r>
      <w:r>
        <w:rPr>
          <w:sz w:val="28"/>
        </w:rPr>
        <w:fldChar w:fldCharType="begin"/>
      </w:r>
      <w:r>
        <w:rPr>
          <w:sz w:val="28"/>
        </w:rPr>
        <w:instrText xml:space="preserve"> PAGEREF _Toc502699369 \h </w:instrText>
      </w:r>
      <w:r>
        <w:rPr>
          <w:sz w:val="28"/>
        </w:rPr>
        <w:fldChar w:fldCharType="separate"/>
      </w:r>
      <w:r>
        <w:rPr>
          <w:sz w:val="28"/>
        </w:rPr>
        <w:t>24</w:t>
      </w:r>
      <w:r>
        <w:rPr>
          <w:sz w:val="28"/>
        </w:rPr>
        <w:fldChar w:fldCharType="end"/>
      </w:r>
      <w:r>
        <w:rPr>
          <w:sz w:val="28"/>
        </w:rPr>
        <w:fldChar w:fldCharType="end"/>
      </w:r>
    </w:p>
    <w:p>
      <w:pPr>
        <w:pStyle w:val="30"/>
        <w:tabs>
          <w:tab w:val="right" w:leader="dot" w:pos="8296"/>
        </w:tabs>
        <w:rPr>
          <w:rFonts w:cstheme="minorBidi"/>
          <w:b w:val="0"/>
          <w:bCs w:val="0"/>
          <w:caps w:val="0"/>
          <w:sz w:val="32"/>
          <w:szCs w:val="22"/>
        </w:rPr>
      </w:pPr>
      <w:r>
        <w:fldChar w:fldCharType="begin"/>
      </w:r>
      <w:r>
        <w:instrText xml:space="preserve"> HYPERLINK \l "_Toc502699370" </w:instrText>
      </w:r>
      <w:r>
        <w:fldChar w:fldCharType="separate"/>
      </w:r>
      <w:r>
        <w:rPr>
          <w:rStyle w:val="45"/>
          <w:sz w:val="28"/>
        </w:rPr>
        <w:t>6</w:t>
      </w:r>
      <w:r>
        <w:rPr>
          <w:rStyle w:val="45"/>
          <w:rFonts w:hint="eastAsia"/>
          <w:sz w:val="28"/>
        </w:rPr>
        <w:t>验收执行标准</w:t>
      </w:r>
      <w:r>
        <w:rPr>
          <w:sz w:val="28"/>
        </w:rPr>
        <w:tab/>
      </w:r>
      <w:r>
        <w:rPr>
          <w:sz w:val="28"/>
        </w:rPr>
        <w:fldChar w:fldCharType="begin"/>
      </w:r>
      <w:r>
        <w:rPr>
          <w:sz w:val="28"/>
        </w:rPr>
        <w:instrText xml:space="preserve"> PAGEREF _Toc502699370 \h </w:instrText>
      </w:r>
      <w:r>
        <w:rPr>
          <w:sz w:val="28"/>
        </w:rPr>
        <w:fldChar w:fldCharType="separate"/>
      </w:r>
      <w:r>
        <w:rPr>
          <w:sz w:val="28"/>
        </w:rPr>
        <w:t>27</w:t>
      </w:r>
      <w:r>
        <w:rPr>
          <w:sz w:val="28"/>
        </w:rPr>
        <w:fldChar w:fldCharType="end"/>
      </w:r>
      <w:r>
        <w:rPr>
          <w:sz w:val="28"/>
        </w:rPr>
        <w:fldChar w:fldCharType="end"/>
      </w:r>
    </w:p>
    <w:p>
      <w:pPr>
        <w:pStyle w:val="30"/>
        <w:tabs>
          <w:tab w:val="right" w:leader="dot" w:pos="8296"/>
        </w:tabs>
        <w:rPr>
          <w:rFonts w:cstheme="minorBidi"/>
          <w:b w:val="0"/>
          <w:bCs w:val="0"/>
          <w:caps w:val="0"/>
          <w:sz w:val="32"/>
          <w:szCs w:val="22"/>
        </w:rPr>
      </w:pPr>
      <w:r>
        <w:fldChar w:fldCharType="begin"/>
      </w:r>
      <w:r>
        <w:instrText xml:space="preserve"> HYPERLINK \l "_Toc502699371" </w:instrText>
      </w:r>
      <w:r>
        <w:fldChar w:fldCharType="separate"/>
      </w:r>
      <w:r>
        <w:rPr>
          <w:rStyle w:val="45"/>
          <w:sz w:val="28"/>
        </w:rPr>
        <w:t xml:space="preserve">7 </w:t>
      </w:r>
      <w:r>
        <w:rPr>
          <w:rStyle w:val="45"/>
          <w:rFonts w:hint="eastAsia"/>
          <w:sz w:val="28"/>
        </w:rPr>
        <w:t>验收监测内容</w:t>
      </w:r>
      <w:r>
        <w:rPr>
          <w:sz w:val="28"/>
        </w:rPr>
        <w:tab/>
      </w:r>
      <w:r>
        <w:rPr>
          <w:sz w:val="28"/>
        </w:rPr>
        <w:fldChar w:fldCharType="begin"/>
      </w:r>
      <w:r>
        <w:rPr>
          <w:sz w:val="28"/>
        </w:rPr>
        <w:instrText xml:space="preserve"> PAGEREF _Toc502699371 \h </w:instrText>
      </w:r>
      <w:r>
        <w:rPr>
          <w:sz w:val="28"/>
        </w:rPr>
        <w:fldChar w:fldCharType="separate"/>
      </w:r>
      <w:r>
        <w:rPr>
          <w:sz w:val="28"/>
        </w:rPr>
        <w:t>28</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"_Toc502699372" </w:instrText>
      </w:r>
      <w:r>
        <w:fldChar w:fldCharType="separate"/>
      </w:r>
      <w:r>
        <w:rPr>
          <w:rStyle w:val="45"/>
          <w:sz w:val="28"/>
        </w:rPr>
        <w:t>7.1</w:t>
      </w:r>
      <w:r>
        <w:rPr>
          <w:rStyle w:val="45"/>
          <w:rFonts w:hint="eastAsia"/>
          <w:sz w:val="28"/>
        </w:rPr>
        <w:t>环境保护设施调试效果</w:t>
      </w:r>
      <w:r>
        <w:rPr>
          <w:sz w:val="28"/>
        </w:rPr>
        <w:tab/>
      </w:r>
      <w:r>
        <w:rPr>
          <w:sz w:val="28"/>
        </w:rPr>
        <w:fldChar w:fldCharType="begin"/>
      </w:r>
      <w:r>
        <w:rPr>
          <w:sz w:val="28"/>
        </w:rPr>
        <w:instrText xml:space="preserve"> PAGEREF _Toc502699372 \h </w:instrText>
      </w:r>
      <w:r>
        <w:rPr>
          <w:sz w:val="28"/>
        </w:rPr>
        <w:fldChar w:fldCharType="separate"/>
      </w:r>
      <w:r>
        <w:rPr>
          <w:sz w:val="28"/>
        </w:rPr>
        <w:t>28</w:t>
      </w:r>
      <w:r>
        <w:rPr>
          <w:sz w:val="28"/>
        </w:rPr>
        <w:fldChar w:fldCharType="end"/>
      </w:r>
      <w:r>
        <w:rPr>
          <w:sz w:val="28"/>
        </w:rPr>
        <w:fldChar w:fldCharType="end"/>
      </w:r>
    </w:p>
    <w:p>
      <w:pPr>
        <w:pStyle w:val="30"/>
        <w:tabs>
          <w:tab w:val="right" w:leader="dot" w:pos="8296"/>
        </w:tabs>
        <w:rPr>
          <w:rFonts w:cstheme="minorBidi"/>
          <w:b w:val="0"/>
          <w:bCs w:val="0"/>
          <w:caps w:val="0"/>
          <w:sz w:val="32"/>
          <w:szCs w:val="22"/>
        </w:rPr>
      </w:pPr>
      <w:r>
        <w:fldChar w:fldCharType="begin"/>
      </w:r>
      <w:r>
        <w:instrText xml:space="preserve"> HYPERLINK \l "_Toc502699373" </w:instrText>
      </w:r>
      <w:r>
        <w:fldChar w:fldCharType="separate"/>
      </w:r>
      <w:r>
        <w:rPr>
          <w:rStyle w:val="45"/>
          <w:sz w:val="28"/>
        </w:rPr>
        <w:t>8</w:t>
      </w:r>
      <w:r>
        <w:rPr>
          <w:rStyle w:val="45"/>
          <w:rFonts w:hint="eastAsia"/>
          <w:sz w:val="28"/>
        </w:rPr>
        <w:t>质量保证及质量控制</w:t>
      </w:r>
      <w:r>
        <w:rPr>
          <w:sz w:val="28"/>
        </w:rPr>
        <w:tab/>
      </w:r>
      <w:r>
        <w:rPr>
          <w:sz w:val="28"/>
        </w:rPr>
        <w:fldChar w:fldCharType="begin"/>
      </w:r>
      <w:r>
        <w:rPr>
          <w:sz w:val="28"/>
        </w:rPr>
        <w:instrText xml:space="preserve"> PAGEREF _Toc502699373 \h </w:instrText>
      </w:r>
      <w:r>
        <w:rPr>
          <w:sz w:val="28"/>
        </w:rPr>
        <w:fldChar w:fldCharType="separate"/>
      </w:r>
      <w:r>
        <w:rPr>
          <w:sz w:val="28"/>
        </w:rPr>
        <w:t>30</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"_Toc502699374" </w:instrText>
      </w:r>
      <w:r>
        <w:fldChar w:fldCharType="separate"/>
      </w:r>
      <w:r>
        <w:rPr>
          <w:rStyle w:val="45"/>
          <w:sz w:val="28"/>
        </w:rPr>
        <w:t>8.1</w:t>
      </w:r>
      <w:r>
        <w:rPr>
          <w:rStyle w:val="45"/>
          <w:rFonts w:hint="eastAsia"/>
          <w:sz w:val="28"/>
        </w:rPr>
        <w:t>监测分析方法</w:t>
      </w:r>
      <w:r>
        <w:rPr>
          <w:sz w:val="28"/>
        </w:rPr>
        <w:tab/>
      </w:r>
      <w:r>
        <w:rPr>
          <w:sz w:val="28"/>
        </w:rPr>
        <w:fldChar w:fldCharType="begin"/>
      </w:r>
      <w:r>
        <w:rPr>
          <w:sz w:val="28"/>
        </w:rPr>
        <w:instrText xml:space="preserve"> PAGEREF _Toc502699374 \h </w:instrText>
      </w:r>
      <w:r>
        <w:rPr>
          <w:sz w:val="28"/>
        </w:rPr>
        <w:fldChar w:fldCharType="separate"/>
      </w:r>
      <w:r>
        <w:rPr>
          <w:sz w:val="28"/>
        </w:rPr>
        <w:t>30</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"_Toc502699375" </w:instrText>
      </w:r>
      <w:r>
        <w:fldChar w:fldCharType="separate"/>
      </w:r>
      <w:r>
        <w:rPr>
          <w:rStyle w:val="45"/>
          <w:sz w:val="28"/>
        </w:rPr>
        <w:t>8.2</w:t>
      </w:r>
      <w:r>
        <w:rPr>
          <w:rStyle w:val="45"/>
          <w:rFonts w:hint="eastAsia"/>
          <w:sz w:val="28"/>
        </w:rPr>
        <w:t>监测仪器</w:t>
      </w:r>
      <w:r>
        <w:rPr>
          <w:sz w:val="28"/>
        </w:rPr>
        <w:tab/>
      </w:r>
      <w:r>
        <w:rPr>
          <w:sz w:val="28"/>
        </w:rPr>
        <w:fldChar w:fldCharType="begin"/>
      </w:r>
      <w:r>
        <w:rPr>
          <w:sz w:val="28"/>
        </w:rPr>
        <w:instrText xml:space="preserve"> PAGEREF _Toc502699375 \h </w:instrText>
      </w:r>
      <w:r>
        <w:rPr>
          <w:sz w:val="28"/>
        </w:rPr>
        <w:fldChar w:fldCharType="separate"/>
      </w:r>
      <w:r>
        <w:rPr>
          <w:sz w:val="28"/>
        </w:rPr>
        <w:t>30</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"_Toc502699376" </w:instrText>
      </w:r>
      <w:r>
        <w:fldChar w:fldCharType="separate"/>
      </w:r>
      <w:r>
        <w:rPr>
          <w:rStyle w:val="45"/>
          <w:sz w:val="28"/>
        </w:rPr>
        <w:t>8.3</w:t>
      </w:r>
      <w:r>
        <w:rPr>
          <w:rStyle w:val="45"/>
          <w:rFonts w:hint="eastAsia"/>
          <w:sz w:val="28"/>
        </w:rPr>
        <w:t>人员资质</w:t>
      </w:r>
      <w:r>
        <w:rPr>
          <w:sz w:val="28"/>
        </w:rPr>
        <w:tab/>
      </w:r>
      <w:r>
        <w:rPr>
          <w:sz w:val="28"/>
        </w:rPr>
        <w:fldChar w:fldCharType="begin"/>
      </w:r>
      <w:r>
        <w:rPr>
          <w:sz w:val="28"/>
        </w:rPr>
        <w:instrText xml:space="preserve"> PAGEREF _Toc502699376 \h </w:instrText>
      </w:r>
      <w:r>
        <w:rPr>
          <w:sz w:val="28"/>
        </w:rPr>
        <w:fldChar w:fldCharType="separate"/>
      </w:r>
      <w:r>
        <w:rPr>
          <w:sz w:val="28"/>
        </w:rPr>
        <w:t>31</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"_Toc502699377" </w:instrText>
      </w:r>
      <w:r>
        <w:fldChar w:fldCharType="separate"/>
      </w:r>
      <w:r>
        <w:rPr>
          <w:rStyle w:val="45"/>
          <w:sz w:val="28"/>
        </w:rPr>
        <w:t>8.4</w:t>
      </w:r>
      <w:r>
        <w:rPr>
          <w:rStyle w:val="45"/>
          <w:rFonts w:hint="eastAsia"/>
          <w:sz w:val="28"/>
        </w:rPr>
        <w:t>气体监测分析过程中的质量保证和质量控制</w:t>
      </w:r>
      <w:r>
        <w:rPr>
          <w:sz w:val="28"/>
        </w:rPr>
        <w:tab/>
      </w:r>
      <w:r>
        <w:rPr>
          <w:sz w:val="28"/>
        </w:rPr>
        <w:fldChar w:fldCharType="begin"/>
      </w:r>
      <w:r>
        <w:rPr>
          <w:sz w:val="28"/>
        </w:rPr>
        <w:instrText xml:space="preserve"> PAGEREF _Toc502699377 \h </w:instrText>
      </w:r>
      <w:r>
        <w:rPr>
          <w:sz w:val="28"/>
        </w:rPr>
        <w:fldChar w:fldCharType="separate"/>
      </w:r>
      <w:r>
        <w:rPr>
          <w:sz w:val="28"/>
        </w:rPr>
        <w:t>31</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"_Toc502699378" </w:instrText>
      </w:r>
      <w:r>
        <w:fldChar w:fldCharType="separate"/>
      </w:r>
      <w:r>
        <w:rPr>
          <w:rStyle w:val="45"/>
          <w:sz w:val="28"/>
        </w:rPr>
        <w:t xml:space="preserve">8.5 </w:t>
      </w:r>
      <w:r>
        <w:rPr>
          <w:rStyle w:val="45"/>
          <w:rFonts w:hint="eastAsia"/>
          <w:sz w:val="28"/>
        </w:rPr>
        <w:t>噪声监测分析过程中的质量保证和质量控制</w:t>
      </w:r>
      <w:r>
        <w:rPr>
          <w:sz w:val="28"/>
        </w:rPr>
        <w:tab/>
      </w:r>
      <w:r>
        <w:rPr>
          <w:sz w:val="28"/>
        </w:rPr>
        <w:fldChar w:fldCharType="begin"/>
      </w:r>
      <w:r>
        <w:rPr>
          <w:sz w:val="28"/>
        </w:rPr>
        <w:instrText xml:space="preserve"> PAGEREF _Toc502699378 \h </w:instrText>
      </w:r>
      <w:r>
        <w:rPr>
          <w:sz w:val="28"/>
        </w:rPr>
        <w:fldChar w:fldCharType="separate"/>
      </w:r>
      <w:r>
        <w:rPr>
          <w:sz w:val="28"/>
        </w:rPr>
        <w:t>31</w:t>
      </w:r>
      <w:r>
        <w:rPr>
          <w:sz w:val="28"/>
        </w:rPr>
        <w:fldChar w:fldCharType="end"/>
      </w:r>
      <w:r>
        <w:rPr>
          <w:sz w:val="28"/>
        </w:rPr>
        <w:fldChar w:fldCharType="end"/>
      </w:r>
    </w:p>
    <w:p>
      <w:pPr>
        <w:pStyle w:val="30"/>
        <w:tabs>
          <w:tab w:val="right" w:leader="dot" w:pos="8296"/>
        </w:tabs>
        <w:rPr>
          <w:rFonts w:cstheme="minorBidi"/>
          <w:b w:val="0"/>
          <w:bCs w:val="0"/>
          <w:caps w:val="0"/>
          <w:sz w:val="32"/>
          <w:szCs w:val="22"/>
        </w:rPr>
      </w:pPr>
      <w:r>
        <w:fldChar w:fldCharType="begin"/>
      </w:r>
      <w:r>
        <w:instrText xml:space="preserve"> HYPERLINK \l "_Toc502699379" </w:instrText>
      </w:r>
      <w:r>
        <w:fldChar w:fldCharType="separate"/>
      </w:r>
      <w:r>
        <w:rPr>
          <w:rStyle w:val="45"/>
          <w:sz w:val="28"/>
        </w:rPr>
        <w:t>9</w:t>
      </w:r>
      <w:r>
        <w:rPr>
          <w:rStyle w:val="45"/>
          <w:rFonts w:hint="eastAsia"/>
          <w:sz w:val="28"/>
        </w:rPr>
        <w:t>验收监测结果</w:t>
      </w:r>
      <w:r>
        <w:rPr>
          <w:sz w:val="28"/>
        </w:rPr>
        <w:tab/>
      </w:r>
      <w:r>
        <w:rPr>
          <w:sz w:val="28"/>
        </w:rPr>
        <w:fldChar w:fldCharType="begin"/>
      </w:r>
      <w:r>
        <w:rPr>
          <w:sz w:val="28"/>
        </w:rPr>
        <w:instrText xml:space="preserve"> PAGEREF _Toc502699379 \h </w:instrText>
      </w:r>
      <w:r>
        <w:rPr>
          <w:sz w:val="28"/>
        </w:rPr>
        <w:fldChar w:fldCharType="separate"/>
      </w:r>
      <w:r>
        <w:rPr>
          <w:sz w:val="28"/>
        </w:rPr>
        <w:t>33</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"_Toc502699380" </w:instrText>
      </w:r>
      <w:r>
        <w:fldChar w:fldCharType="separate"/>
      </w:r>
      <w:r>
        <w:rPr>
          <w:rStyle w:val="45"/>
          <w:sz w:val="28"/>
        </w:rPr>
        <w:t>9.1</w:t>
      </w:r>
      <w:r>
        <w:rPr>
          <w:rStyle w:val="45"/>
          <w:rFonts w:hint="eastAsia"/>
          <w:sz w:val="28"/>
        </w:rPr>
        <w:t>生产工况</w:t>
      </w:r>
      <w:r>
        <w:rPr>
          <w:sz w:val="28"/>
        </w:rPr>
        <w:tab/>
      </w:r>
      <w:r>
        <w:rPr>
          <w:sz w:val="28"/>
        </w:rPr>
        <w:fldChar w:fldCharType="begin"/>
      </w:r>
      <w:r>
        <w:rPr>
          <w:sz w:val="28"/>
        </w:rPr>
        <w:instrText xml:space="preserve"> PAGEREF _Toc502699380 \h </w:instrText>
      </w:r>
      <w:r>
        <w:rPr>
          <w:sz w:val="28"/>
        </w:rPr>
        <w:fldChar w:fldCharType="separate"/>
      </w:r>
      <w:r>
        <w:rPr>
          <w:sz w:val="28"/>
        </w:rPr>
        <w:t>33</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"_Toc502699381" </w:instrText>
      </w:r>
      <w:r>
        <w:fldChar w:fldCharType="separate"/>
      </w:r>
      <w:r>
        <w:rPr>
          <w:rStyle w:val="45"/>
          <w:sz w:val="28"/>
        </w:rPr>
        <w:t>9.2</w:t>
      </w:r>
      <w:r>
        <w:rPr>
          <w:rStyle w:val="45"/>
          <w:rFonts w:hint="eastAsia"/>
          <w:sz w:val="28"/>
        </w:rPr>
        <w:t>环境保设施调试效果</w:t>
      </w:r>
      <w:r>
        <w:rPr>
          <w:sz w:val="28"/>
        </w:rPr>
        <w:tab/>
      </w:r>
      <w:r>
        <w:rPr>
          <w:sz w:val="28"/>
        </w:rPr>
        <w:fldChar w:fldCharType="begin"/>
      </w:r>
      <w:r>
        <w:rPr>
          <w:sz w:val="28"/>
        </w:rPr>
        <w:instrText xml:space="preserve"> PAGEREF _Toc502699381 \h </w:instrText>
      </w:r>
      <w:r>
        <w:rPr>
          <w:sz w:val="28"/>
        </w:rPr>
        <w:fldChar w:fldCharType="separate"/>
      </w:r>
      <w:r>
        <w:rPr>
          <w:sz w:val="28"/>
        </w:rPr>
        <w:t>33</w:t>
      </w:r>
      <w:r>
        <w:rPr>
          <w:sz w:val="28"/>
        </w:rPr>
        <w:fldChar w:fldCharType="end"/>
      </w:r>
      <w:r>
        <w:rPr>
          <w:sz w:val="28"/>
        </w:rPr>
        <w:fldChar w:fldCharType="end"/>
      </w:r>
    </w:p>
    <w:p>
      <w:pPr>
        <w:pStyle w:val="30"/>
        <w:tabs>
          <w:tab w:val="right" w:leader="dot" w:pos="8296"/>
        </w:tabs>
        <w:rPr>
          <w:rFonts w:cstheme="minorBidi"/>
          <w:b w:val="0"/>
          <w:bCs w:val="0"/>
          <w:caps w:val="0"/>
          <w:sz w:val="32"/>
          <w:szCs w:val="22"/>
        </w:rPr>
      </w:pPr>
      <w:r>
        <w:fldChar w:fldCharType="begin"/>
      </w:r>
      <w:r>
        <w:instrText xml:space="preserve"> HYPERLINK \l "_Toc502699382" </w:instrText>
      </w:r>
      <w:r>
        <w:fldChar w:fldCharType="separate"/>
      </w:r>
      <w:r>
        <w:rPr>
          <w:rStyle w:val="45"/>
          <w:sz w:val="28"/>
        </w:rPr>
        <w:t xml:space="preserve">10 </w:t>
      </w:r>
      <w:r>
        <w:rPr>
          <w:rStyle w:val="45"/>
          <w:rFonts w:hint="eastAsia"/>
          <w:sz w:val="28"/>
        </w:rPr>
        <w:t>验收监测结论</w:t>
      </w:r>
      <w:r>
        <w:rPr>
          <w:sz w:val="28"/>
        </w:rPr>
        <w:tab/>
      </w:r>
      <w:r>
        <w:rPr>
          <w:sz w:val="28"/>
        </w:rPr>
        <w:fldChar w:fldCharType="begin"/>
      </w:r>
      <w:r>
        <w:rPr>
          <w:sz w:val="28"/>
        </w:rPr>
        <w:instrText xml:space="preserve"> PAGEREF _Toc502699382 \h </w:instrText>
      </w:r>
      <w:r>
        <w:rPr>
          <w:sz w:val="28"/>
        </w:rPr>
        <w:fldChar w:fldCharType="separate"/>
      </w:r>
      <w:r>
        <w:rPr>
          <w:sz w:val="28"/>
        </w:rPr>
        <w:t>39</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"_Toc502699383" </w:instrText>
      </w:r>
      <w:r>
        <w:fldChar w:fldCharType="separate"/>
      </w:r>
      <w:r>
        <w:rPr>
          <w:rStyle w:val="45"/>
          <w:sz w:val="28"/>
        </w:rPr>
        <w:t>10.1</w:t>
      </w:r>
      <w:r>
        <w:rPr>
          <w:rStyle w:val="45"/>
          <w:rFonts w:hint="eastAsia"/>
          <w:sz w:val="28"/>
        </w:rPr>
        <w:t>环境保护设施调试效果</w:t>
      </w:r>
      <w:r>
        <w:rPr>
          <w:sz w:val="28"/>
        </w:rPr>
        <w:tab/>
      </w:r>
      <w:r>
        <w:rPr>
          <w:sz w:val="28"/>
        </w:rPr>
        <w:fldChar w:fldCharType="begin"/>
      </w:r>
      <w:r>
        <w:rPr>
          <w:sz w:val="28"/>
        </w:rPr>
        <w:instrText xml:space="preserve"> PAGEREF _Toc502699383 \h </w:instrText>
      </w:r>
      <w:r>
        <w:rPr>
          <w:sz w:val="28"/>
        </w:rPr>
        <w:fldChar w:fldCharType="separate"/>
      </w:r>
      <w:r>
        <w:rPr>
          <w:sz w:val="28"/>
        </w:rPr>
        <w:t>39</w:t>
      </w:r>
      <w:r>
        <w:rPr>
          <w:sz w:val="28"/>
        </w:rPr>
        <w:fldChar w:fldCharType="end"/>
      </w:r>
      <w:r>
        <w:rPr>
          <w:sz w:val="28"/>
        </w:rPr>
        <w:fldChar w:fldCharType="end"/>
      </w:r>
    </w:p>
    <w:p>
      <w:pPr>
        <w:pStyle w:val="37"/>
        <w:tabs>
          <w:tab w:val="right" w:leader="dot" w:pos="8296"/>
        </w:tabs>
        <w:rPr>
          <w:rFonts w:cstheme="minorBidi"/>
          <w:smallCaps w:val="0"/>
          <w:sz w:val="32"/>
          <w:szCs w:val="22"/>
        </w:rPr>
      </w:pPr>
      <w:r>
        <w:fldChar w:fldCharType="begin"/>
      </w:r>
      <w:r>
        <w:instrText xml:space="preserve"> HYPERLINK \l "_Toc502699384" </w:instrText>
      </w:r>
      <w:r>
        <w:fldChar w:fldCharType="separate"/>
      </w:r>
      <w:r>
        <w:rPr>
          <w:rStyle w:val="45"/>
          <w:sz w:val="28"/>
        </w:rPr>
        <w:t>10.2</w:t>
      </w:r>
      <w:r>
        <w:rPr>
          <w:rStyle w:val="45"/>
          <w:rFonts w:hint="eastAsia"/>
          <w:sz w:val="28"/>
        </w:rPr>
        <w:t>验收意见</w:t>
      </w:r>
      <w:r>
        <w:rPr>
          <w:sz w:val="28"/>
        </w:rPr>
        <w:tab/>
      </w:r>
      <w:r>
        <w:rPr>
          <w:sz w:val="28"/>
        </w:rPr>
        <w:fldChar w:fldCharType="begin"/>
      </w:r>
      <w:r>
        <w:rPr>
          <w:sz w:val="28"/>
        </w:rPr>
        <w:instrText xml:space="preserve"> PAGEREF _Toc502699384 \h </w:instrText>
      </w:r>
      <w:r>
        <w:rPr>
          <w:sz w:val="28"/>
        </w:rPr>
        <w:fldChar w:fldCharType="separate"/>
      </w:r>
      <w:r>
        <w:rPr>
          <w:sz w:val="28"/>
        </w:rPr>
        <w:t>41</w:t>
      </w:r>
      <w:r>
        <w:rPr>
          <w:sz w:val="28"/>
        </w:rPr>
        <w:fldChar w:fldCharType="end"/>
      </w:r>
      <w:r>
        <w:rPr>
          <w:sz w:val="28"/>
        </w:rPr>
        <w:fldChar w:fldCharType="end"/>
      </w:r>
    </w:p>
    <w:p>
      <w:pPr>
        <w:pStyle w:val="30"/>
        <w:tabs>
          <w:tab w:val="right" w:leader="dot" w:pos="8296"/>
        </w:tabs>
        <w:rPr>
          <w:rFonts w:cstheme="minorBidi"/>
          <w:b w:val="0"/>
          <w:bCs w:val="0"/>
          <w:caps w:val="0"/>
          <w:sz w:val="21"/>
          <w:szCs w:val="22"/>
        </w:rPr>
      </w:pPr>
      <w:r>
        <w:fldChar w:fldCharType="begin"/>
      </w:r>
      <w:r>
        <w:instrText xml:space="preserve"> HYPERLINK \l "_Toc502699385" </w:instrText>
      </w:r>
      <w:r>
        <w:fldChar w:fldCharType="separate"/>
      </w:r>
      <w:r>
        <w:rPr>
          <w:rStyle w:val="45"/>
          <w:sz w:val="28"/>
        </w:rPr>
        <w:t>11</w:t>
      </w:r>
      <w:r>
        <w:rPr>
          <w:rStyle w:val="45"/>
          <w:rFonts w:hint="eastAsia"/>
          <w:sz w:val="28"/>
        </w:rPr>
        <w:t>建设项目环境保护</w:t>
      </w:r>
      <w:r>
        <w:rPr>
          <w:rStyle w:val="45"/>
          <w:sz w:val="28"/>
        </w:rPr>
        <w:t>“</w:t>
      </w:r>
      <w:r>
        <w:rPr>
          <w:rStyle w:val="45"/>
          <w:rFonts w:hint="eastAsia"/>
          <w:sz w:val="28"/>
        </w:rPr>
        <w:t>三同时</w:t>
      </w:r>
      <w:r>
        <w:rPr>
          <w:rStyle w:val="45"/>
          <w:sz w:val="28"/>
        </w:rPr>
        <w:t>”</w:t>
      </w:r>
      <w:r>
        <w:rPr>
          <w:rStyle w:val="45"/>
          <w:rFonts w:hint="eastAsia"/>
          <w:sz w:val="28"/>
        </w:rPr>
        <w:t>竣工验收登记表</w:t>
      </w:r>
      <w:r>
        <w:rPr>
          <w:sz w:val="28"/>
        </w:rPr>
        <w:tab/>
      </w:r>
      <w:r>
        <w:rPr>
          <w:sz w:val="28"/>
        </w:rPr>
        <w:fldChar w:fldCharType="begin"/>
      </w:r>
      <w:r>
        <w:rPr>
          <w:sz w:val="28"/>
        </w:rPr>
        <w:instrText xml:space="preserve"> PAGEREF _Toc502699385 \h </w:instrText>
      </w:r>
      <w:r>
        <w:rPr>
          <w:sz w:val="28"/>
        </w:rPr>
        <w:fldChar w:fldCharType="separate"/>
      </w:r>
      <w:r>
        <w:rPr>
          <w:sz w:val="28"/>
        </w:rPr>
        <w:t>42</w:t>
      </w:r>
      <w:r>
        <w:rPr>
          <w:sz w:val="28"/>
        </w:rPr>
        <w:fldChar w:fldCharType="end"/>
      </w:r>
      <w:r>
        <w:rPr>
          <w:sz w:val="28"/>
        </w:rPr>
        <w:fldChar w:fldCharType="end"/>
      </w:r>
    </w:p>
    <w:p>
      <w:pPr>
        <w:pStyle w:val="2"/>
        <w:spacing w:beforeLines="0" w:afterLines="0"/>
        <w:rPr>
          <w:rFonts w:asciiTheme="majorHAnsi" w:hAnsiTheme="majorHAnsi" w:eastAsiaTheme="minorEastAsia"/>
          <w:b w:val="0"/>
          <w:caps/>
          <w:kern w:val="2"/>
          <w:sz w:val="32"/>
          <w:szCs w:val="24"/>
        </w:rPr>
      </w:pPr>
      <w:r>
        <w:rPr>
          <w:rFonts w:asciiTheme="majorHAnsi" w:hAnsiTheme="majorHAnsi" w:eastAsiaTheme="minorEastAsia"/>
          <w:b w:val="0"/>
          <w:caps/>
          <w:kern w:val="2"/>
          <w:sz w:val="32"/>
          <w:szCs w:val="24"/>
        </w:rPr>
        <w:fldChar w:fldCharType="end"/>
      </w:r>
      <w:r>
        <w:rPr>
          <w:rFonts w:hint="eastAsia" w:asciiTheme="majorHAnsi" w:hAnsiTheme="majorHAnsi" w:eastAsiaTheme="minorEastAsia"/>
          <w:b w:val="0"/>
          <w:caps/>
          <w:kern w:val="2"/>
          <w:sz w:val="32"/>
          <w:szCs w:val="24"/>
        </w:rPr>
        <w:t>附件：</w:t>
      </w:r>
    </w:p>
    <w:p>
      <w:pPr>
        <w:ind w:left="840" w:hanging="840" w:hangingChars="350"/>
        <w:rPr>
          <w:sz w:val="24"/>
          <w:szCs w:val="24"/>
        </w:rPr>
      </w:pPr>
      <w:r>
        <w:rPr>
          <w:rFonts w:hint="eastAsia"/>
          <w:sz w:val="24"/>
          <w:szCs w:val="24"/>
        </w:rPr>
        <w:t>附件一：</w:t>
      </w:r>
      <w:r>
        <w:rPr>
          <w:rFonts w:eastAsia="宋体"/>
          <w:sz w:val="24"/>
          <w:szCs w:val="24"/>
        </w:rPr>
        <w:t>《</w:t>
      </w:r>
      <w:r>
        <w:rPr>
          <w:rFonts w:hint="eastAsia" w:eastAsia="宋体"/>
          <w:sz w:val="24"/>
          <w:szCs w:val="24"/>
        </w:rPr>
        <w:t>关于</w:t>
      </w:r>
      <w:r>
        <w:rPr>
          <w:rFonts w:eastAsia="宋体"/>
          <w:sz w:val="24"/>
          <w:szCs w:val="24"/>
        </w:rPr>
        <w:t>临沂周兴建材有限公司生产加工石膏贴面板、石膏制品和机械加工项目环境影响报告表</w:t>
      </w:r>
      <w:r>
        <w:rPr>
          <w:rFonts w:hint="eastAsia" w:eastAsia="宋体"/>
          <w:sz w:val="24"/>
          <w:szCs w:val="24"/>
        </w:rPr>
        <w:t>的批复</w:t>
      </w:r>
      <w:r>
        <w:rPr>
          <w:rFonts w:eastAsia="宋体"/>
          <w:sz w:val="24"/>
          <w:szCs w:val="24"/>
        </w:rPr>
        <w:t>》</w:t>
      </w:r>
    </w:p>
    <w:p>
      <w:pPr>
        <w:ind w:left="840" w:hanging="840" w:hangingChars="350"/>
        <w:rPr>
          <w:sz w:val="24"/>
          <w:szCs w:val="24"/>
        </w:rPr>
      </w:pPr>
      <w:r>
        <w:rPr>
          <w:rFonts w:hint="eastAsia"/>
          <w:sz w:val="24"/>
          <w:szCs w:val="24"/>
        </w:rPr>
        <w:t>附件二：</w:t>
      </w:r>
      <w:r>
        <w:rPr>
          <w:sz w:val="24"/>
          <w:szCs w:val="24"/>
        </w:rPr>
        <w:t>临沂周兴建材有限公司生产加工石膏贴面板、石膏制品和机械加工项目环境影响报告表</w:t>
      </w:r>
      <w:r>
        <w:rPr>
          <w:rFonts w:hint="eastAsia"/>
          <w:sz w:val="24"/>
          <w:szCs w:val="24"/>
        </w:rPr>
        <w:t>结论及建议</w:t>
      </w:r>
    </w:p>
    <w:p>
      <w:pPr>
        <w:rPr>
          <w:sz w:val="24"/>
          <w:szCs w:val="24"/>
        </w:rPr>
      </w:pPr>
      <w:r>
        <w:rPr>
          <w:rFonts w:hint="eastAsia"/>
          <w:sz w:val="24"/>
          <w:szCs w:val="24"/>
        </w:rPr>
        <w:t>附件三：危废废物委托处理协议</w:t>
      </w:r>
    </w:p>
    <w:p>
      <w:pPr>
        <w:rPr>
          <w:sz w:val="24"/>
          <w:szCs w:val="24"/>
        </w:rPr>
      </w:pPr>
      <w:r>
        <w:rPr>
          <w:rFonts w:hint="eastAsia"/>
          <w:sz w:val="24"/>
          <w:szCs w:val="24"/>
        </w:rPr>
        <w:t>附件四：社会环境检测机构检测服务项目备案表</w:t>
      </w:r>
    </w:p>
    <w:p>
      <w:pPr>
        <w:ind w:left="960" w:hanging="960" w:hangingChars="400"/>
        <w:rPr>
          <w:sz w:val="24"/>
          <w:szCs w:val="24"/>
        </w:rPr>
      </w:pPr>
      <w:r>
        <w:rPr>
          <w:rFonts w:hint="eastAsia"/>
          <w:sz w:val="24"/>
          <w:szCs w:val="24"/>
        </w:rPr>
        <w:t>附件五：</w:t>
      </w:r>
      <w:r>
        <w:rPr>
          <w:rFonts w:eastAsia="宋体"/>
          <w:sz w:val="24"/>
          <w:szCs w:val="24"/>
        </w:rPr>
        <w:t>临沂周兴建材有限公司生产加工石膏贴面板、石膏制品和机械加工项目</w:t>
      </w:r>
      <w:r>
        <w:rPr>
          <w:rFonts w:hint="eastAsia" w:eastAsia="宋体"/>
          <w:sz w:val="24"/>
          <w:szCs w:val="24"/>
        </w:rPr>
        <w:t>验收监测方案</w:t>
      </w:r>
    </w:p>
    <w:p>
      <w:pPr>
        <w:ind w:left="960" w:hanging="960" w:hangingChars="400"/>
        <w:rPr>
          <w:sz w:val="24"/>
          <w:szCs w:val="24"/>
        </w:rPr>
      </w:pPr>
      <w:r>
        <w:rPr>
          <w:rFonts w:hint="eastAsia"/>
          <w:sz w:val="24"/>
          <w:szCs w:val="24"/>
        </w:rPr>
        <w:t>附件六：</w:t>
      </w:r>
      <w:r>
        <w:rPr>
          <w:rFonts w:eastAsia="宋体"/>
          <w:sz w:val="24"/>
          <w:szCs w:val="24"/>
        </w:rPr>
        <w:t>临沂周兴建材有限公司生产加工石膏贴面板、石膏制品和机械加工项目</w:t>
      </w:r>
      <w:r>
        <w:rPr>
          <w:rFonts w:hint="eastAsia" w:eastAsia="宋体"/>
          <w:sz w:val="24"/>
          <w:szCs w:val="24"/>
        </w:rPr>
        <w:t>验收监测报告</w:t>
      </w:r>
    </w:p>
    <w:p>
      <w:pPr>
        <w:pStyle w:val="2"/>
        <w:spacing w:before="177" w:after="106"/>
        <w:sectPr>
          <w:headerReference r:id="rId18" w:type="default"/>
          <w:footerReference r:id="rId19" w:type="default"/>
          <w:pgSz w:w="11906" w:h="16838"/>
          <w:pgMar w:top="1440" w:right="1800" w:bottom="1440" w:left="1800" w:header="850" w:footer="992" w:gutter="0"/>
          <w:pgNumType w:fmt="upperRoman" w:start="1"/>
          <w:cols w:space="425" w:num="1"/>
          <w:docGrid w:type="lines" w:linePitch="354" w:charSpace="0"/>
        </w:sectPr>
      </w:pPr>
      <w:bookmarkStart w:id="0" w:name="_Toc499059446"/>
    </w:p>
    <w:p>
      <w:pPr>
        <w:pStyle w:val="2"/>
        <w:spacing w:before="177" w:after="106"/>
      </w:pPr>
      <w:bookmarkStart w:id="1" w:name="_Toc502699350"/>
      <w:bookmarkStart w:id="2" w:name="_Toc499060183"/>
      <w:r>
        <w:t>1 验收项目概况</w:t>
      </w:r>
      <w:bookmarkEnd w:id="0"/>
      <w:bookmarkEnd w:id="1"/>
      <w:bookmarkEnd w:id="2"/>
    </w:p>
    <w:p>
      <w:pPr>
        <w:ind w:firstLine="520"/>
      </w:pPr>
      <w:r>
        <w:t>本次验收的内容为临沂周兴建材有限公司生产加工石膏贴面板、石膏制品和机械加工项目</w:t>
      </w:r>
      <w:r>
        <w:rPr>
          <w:rFonts w:hint="eastAsia"/>
        </w:rPr>
        <w:t>，</w:t>
      </w:r>
      <w:r>
        <w:t>具体验收情况见表1-1。</w:t>
      </w:r>
    </w:p>
    <w:p>
      <w:pPr>
        <w:pStyle w:val="49"/>
        <w:spacing w:before="177"/>
        <w:rPr>
          <w:color w:val="3E3E3E"/>
        </w:rPr>
      </w:pPr>
      <w:r>
        <w:t>表1-1  验收项目概况</w:t>
      </w:r>
    </w:p>
    <w:tbl>
      <w:tblPr>
        <w:tblStyle w:val="47"/>
        <w:tblW w:w="91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2941"/>
        <w:gridCol w:w="1416"/>
        <w:gridCol w:w="511"/>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项目名称</w:t>
            </w:r>
          </w:p>
        </w:tc>
        <w:tc>
          <w:tcPr>
            <w:tcW w:w="7525" w:type="dxa"/>
            <w:gridSpan w:val="4"/>
            <w:vAlign w:val="center"/>
          </w:tcPr>
          <w:p>
            <w:pPr>
              <w:pStyle w:val="50"/>
              <w:spacing w:beforeLines="0"/>
            </w:pPr>
            <w:r>
              <w:t>临沂周兴建材有限公司生产加工石膏贴面板、石膏制品和机械加工项目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建设单位</w:t>
            </w:r>
          </w:p>
        </w:tc>
        <w:tc>
          <w:tcPr>
            <w:tcW w:w="7525" w:type="dxa"/>
            <w:gridSpan w:val="4"/>
            <w:vAlign w:val="center"/>
          </w:tcPr>
          <w:p>
            <w:pPr>
              <w:pStyle w:val="50"/>
              <w:spacing w:beforeLines="0"/>
            </w:pPr>
            <w:r>
              <w:t>临沂周兴建材有限公司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建设地点</w:t>
            </w:r>
          </w:p>
        </w:tc>
        <w:tc>
          <w:tcPr>
            <w:tcW w:w="7525" w:type="dxa"/>
            <w:gridSpan w:val="4"/>
            <w:vAlign w:val="center"/>
          </w:tcPr>
          <w:p>
            <w:pPr>
              <w:pStyle w:val="50"/>
              <w:spacing w:beforeLines="0"/>
            </w:pPr>
            <w:r>
              <w:t>临沂国家高新技术产业开发区罗西街道朱隆工业园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联系人</w:t>
            </w:r>
          </w:p>
        </w:tc>
        <w:tc>
          <w:tcPr>
            <w:tcW w:w="2941" w:type="dxa"/>
            <w:vAlign w:val="center"/>
          </w:tcPr>
          <w:p>
            <w:pPr>
              <w:pStyle w:val="50"/>
              <w:spacing w:beforeLines="0"/>
            </w:pPr>
            <w:r>
              <w:rPr>
                <w:rFonts w:hint="eastAsia"/>
              </w:rPr>
              <w:t>陆伟</w:t>
            </w:r>
          </w:p>
        </w:tc>
        <w:tc>
          <w:tcPr>
            <w:tcW w:w="1927" w:type="dxa"/>
            <w:gridSpan w:val="2"/>
            <w:vAlign w:val="center"/>
          </w:tcPr>
          <w:p>
            <w:pPr>
              <w:pStyle w:val="50"/>
              <w:spacing w:beforeLines="0"/>
            </w:pPr>
            <w:r>
              <w:t>联系电话</w:t>
            </w:r>
          </w:p>
        </w:tc>
        <w:tc>
          <w:tcPr>
            <w:tcW w:w="2657" w:type="dxa"/>
            <w:vAlign w:val="center"/>
          </w:tcPr>
          <w:p>
            <w:pPr>
              <w:pStyle w:val="50"/>
              <w:spacing w:beforeLines="0"/>
            </w:pPr>
            <w:r>
              <w:rPr>
                <w:rFonts w:hint="eastAsia"/>
              </w:rPr>
              <w:t>13791556681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建设项目性质</w:t>
            </w:r>
          </w:p>
        </w:tc>
        <w:tc>
          <w:tcPr>
            <w:tcW w:w="7525" w:type="dxa"/>
            <w:gridSpan w:val="4"/>
            <w:vAlign w:val="center"/>
          </w:tcPr>
          <w:p>
            <w:pPr>
              <w:pStyle w:val="50"/>
              <w:spacing w:beforeLines="0"/>
            </w:pPr>
            <w:r>
              <w:t>新建√    改扩建    技改     迁建   （划√）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设计单位</w:t>
            </w:r>
          </w:p>
        </w:tc>
        <w:tc>
          <w:tcPr>
            <w:tcW w:w="2941" w:type="dxa"/>
            <w:vAlign w:val="center"/>
          </w:tcPr>
          <w:p>
            <w:pPr>
              <w:pStyle w:val="50"/>
              <w:spacing w:beforeLines="0"/>
            </w:pPr>
            <w:r>
              <w:t>临沂周兴建材有限公司</w:t>
            </w:r>
          </w:p>
        </w:tc>
        <w:tc>
          <w:tcPr>
            <w:tcW w:w="1416" w:type="dxa"/>
            <w:vAlign w:val="center"/>
          </w:tcPr>
          <w:p>
            <w:pPr>
              <w:pStyle w:val="50"/>
              <w:spacing w:beforeLines="0"/>
            </w:pPr>
            <w:r>
              <w:t>施工单位</w:t>
            </w:r>
          </w:p>
        </w:tc>
        <w:tc>
          <w:tcPr>
            <w:tcW w:w="3168" w:type="dxa"/>
            <w:gridSpan w:val="2"/>
            <w:vAlign w:val="center"/>
          </w:tcPr>
          <w:p>
            <w:pPr>
              <w:pStyle w:val="50"/>
              <w:spacing w:beforeLines="0"/>
            </w:pPr>
            <w:r>
              <w:t>临沂周兴建材有限公司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占地面积</w:t>
            </w:r>
          </w:p>
        </w:tc>
        <w:tc>
          <w:tcPr>
            <w:tcW w:w="2941" w:type="dxa"/>
            <w:vAlign w:val="center"/>
          </w:tcPr>
          <w:p>
            <w:pPr>
              <w:pStyle w:val="50"/>
              <w:spacing w:beforeLines="0"/>
            </w:pPr>
            <w:r>
              <w:rPr>
                <w:rFonts w:hint="eastAsia"/>
              </w:rPr>
              <w:t>19343</w:t>
            </w:r>
            <w:r>
              <w:t>平方米</w:t>
            </w:r>
          </w:p>
        </w:tc>
        <w:tc>
          <w:tcPr>
            <w:tcW w:w="1416" w:type="dxa"/>
            <w:vAlign w:val="center"/>
          </w:tcPr>
          <w:p>
            <w:pPr>
              <w:pStyle w:val="50"/>
              <w:spacing w:beforeLines="0"/>
              <w:rPr>
                <w:highlight w:val="yellow"/>
              </w:rPr>
            </w:pPr>
            <w:r>
              <w:t>绿化面积</w:t>
            </w:r>
          </w:p>
        </w:tc>
        <w:tc>
          <w:tcPr>
            <w:tcW w:w="3168" w:type="dxa"/>
            <w:gridSpan w:val="2"/>
            <w:vAlign w:val="center"/>
          </w:tcPr>
          <w:p>
            <w:pPr>
              <w:pStyle w:val="50"/>
              <w:spacing w:beforeLines="0"/>
            </w:pPr>
            <w:r>
              <w:rPr>
                <w:rFonts w:hint="eastAsia"/>
              </w:rPr>
              <w:t>1500</w:t>
            </w:r>
            <w: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rPr>
                <w:highlight w:val="yellow"/>
              </w:rPr>
            </w:pPr>
            <w:r>
              <w:t>开工日期</w:t>
            </w:r>
          </w:p>
        </w:tc>
        <w:tc>
          <w:tcPr>
            <w:tcW w:w="2941" w:type="dxa"/>
            <w:vAlign w:val="center"/>
          </w:tcPr>
          <w:p>
            <w:pPr>
              <w:pStyle w:val="50"/>
              <w:spacing w:beforeLines="0"/>
            </w:pPr>
            <w:r>
              <w:t>——</w:t>
            </w:r>
          </w:p>
        </w:tc>
        <w:tc>
          <w:tcPr>
            <w:tcW w:w="1416" w:type="dxa"/>
            <w:vAlign w:val="center"/>
          </w:tcPr>
          <w:p>
            <w:pPr>
              <w:pStyle w:val="50"/>
              <w:spacing w:beforeLines="0"/>
            </w:pPr>
            <w:r>
              <w:t>竣工日期</w:t>
            </w:r>
          </w:p>
        </w:tc>
        <w:tc>
          <w:tcPr>
            <w:tcW w:w="3168" w:type="dxa"/>
            <w:gridSpan w:val="2"/>
            <w:vAlign w:val="center"/>
          </w:tcPr>
          <w:p>
            <w:pPr>
              <w:pStyle w:val="50"/>
              <w:spacing w:beforeLines="0"/>
            </w:pPr>
            <w:r>
              <w:t>201</w:t>
            </w:r>
            <w:r>
              <w:rPr>
                <w:rFonts w:hint="eastAsia"/>
              </w:rPr>
              <w:t>5</w:t>
            </w:r>
            <w:r>
              <w:t>年</w:t>
            </w:r>
            <w:r>
              <w:rPr>
                <w:rFonts w:hint="eastAsia"/>
              </w:rPr>
              <w:t>8</w:t>
            </w:r>
            <w: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投入试运行</w:t>
            </w:r>
          </w:p>
          <w:p>
            <w:pPr>
              <w:pStyle w:val="50"/>
              <w:spacing w:beforeLines="0"/>
            </w:pPr>
            <w:r>
              <w:t>时间</w:t>
            </w:r>
          </w:p>
        </w:tc>
        <w:tc>
          <w:tcPr>
            <w:tcW w:w="2941" w:type="dxa"/>
            <w:vAlign w:val="center"/>
          </w:tcPr>
          <w:p>
            <w:pPr>
              <w:pStyle w:val="50"/>
              <w:spacing w:beforeLines="0"/>
            </w:pPr>
            <w:r>
              <w:t>201</w:t>
            </w:r>
            <w:r>
              <w:rPr>
                <w:rFonts w:hint="eastAsia"/>
              </w:rPr>
              <w:t>5</w:t>
            </w:r>
            <w:r>
              <w:t>年</w:t>
            </w:r>
            <w:r>
              <w:rPr>
                <w:rFonts w:hint="eastAsia"/>
              </w:rPr>
              <w:t>8</w:t>
            </w:r>
            <w:r>
              <w:t>月</w:t>
            </w:r>
          </w:p>
        </w:tc>
        <w:tc>
          <w:tcPr>
            <w:tcW w:w="1416" w:type="dxa"/>
            <w:vAlign w:val="center"/>
          </w:tcPr>
          <w:p>
            <w:pPr>
              <w:pStyle w:val="50"/>
              <w:spacing w:beforeLines="0"/>
              <w:rPr>
                <w:highlight w:val="yellow"/>
              </w:rPr>
            </w:pPr>
            <w:r>
              <w:t>申请排污许可证时间</w:t>
            </w:r>
          </w:p>
        </w:tc>
        <w:tc>
          <w:tcPr>
            <w:tcW w:w="3168" w:type="dxa"/>
            <w:gridSpan w:val="2"/>
            <w:vAlign w:val="center"/>
          </w:tcPr>
          <w:p>
            <w:pPr>
              <w:pStyle w:val="50"/>
              <w:spacing w:beforeLine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环评报告表审批部门</w:t>
            </w:r>
          </w:p>
        </w:tc>
        <w:tc>
          <w:tcPr>
            <w:tcW w:w="7525" w:type="dxa"/>
            <w:gridSpan w:val="4"/>
            <w:vAlign w:val="center"/>
          </w:tcPr>
          <w:p>
            <w:pPr>
              <w:pStyle w:val="50"/>
              <w:spacing w:beforeLines="0"/>
            </w:pPr>
            <w:r>
              <w:t>临沂市环境保护局高新技术产业开发区分局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环评报告表审批时间</w:t>
            </w:r>
          </w:p>
        </w:tc>
        <w:tc>
          <w:tcPr>
            <w:tcW w:w="2941" w:type="dxa"/>
            <w:vAlign w:val="center"/>
          </w:tcPr>
          <w:p>
            <w:pPr>
              <w:pStyle w:val="50"/>
              <w:spacing w:beforeLines="0"/>
            </w:pPr>
            <w:r>
              <w:t>2017年9月11日</w:t>
            </w:r>
          </w:p>
        </w:tc>
        <w:tc>
          <w:tcPr>
            <w:tcW w:w="1416" w:type="dxa"/>
            <w:vAlign w:val="center"/>
          </w:tcPr>
          <w:p>
            <w:pPr>
              <w:pStyle w:val="50"/>
              <w:spacing w:beforeLines="0"/>
            </w:pPr>
            <w:r>
              <w:t>环评报告表审批文号</w:t>
            </w:r>
          </w:p>
        </w:tc>
        <w:tc>
          <w:tcPr>
            <w:tcW w:w="3168" w:type="dxa"/>
            <w:gridSpan w:val="2"/>
            <w:vAlign w:val="center"/>
          </w:tcPr>
          <w:p>
            <w:pPr>
              <w:pStyle w:val="50"/>
              <w:spacing w:beforeLines="0"/>
              <w:rPr>
                <w:highlight w:val="yellow"/>
              </w:rPr>
            </w:pPr>
            <w:r>
              <w:t>临环高表[2017]62号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环评报告表编制单位</w:t>
            </w:r>
          </w:p>
        </w:tc>
        <w:tc>
          <w:tcPr>
            <w:tcW w:w="2941" w:type="dxa"/>
            <w:vAlign w:val="center"/>
          </w:tcPr>
          <w:p>
            <w:pPr>
              <w:pStyle w:val="50"/>
              <w:spacing w:beforeLines="0"/>
            </w:pPr>
            <w:r>
              <w:t>宁夏华之洁环境技术有限公司</w:t>
            </w:r>
          </w:p>
        </w:tc>
        <w:tc>
          <w:tcPr>
            <w:tcW w:w="1416" w:type="dxa"/>
            <w:vAlign w:val="center"/>
          </w:tcPr>
          <w:p>
            <w:pPr>
              <w:pStyle w:val="50"/>
              <w:spacing w:beforeLines="0"/>
            </w:pPr>
            <w:r>
              <w:t>环评报告表完成时间</w:t>
            </w:r>
          </w:p>
        </w:tc>
        <w:tc>
          <w:tcPr>
            <w:tcW w:w="3168" w:type="dxa"/>
            <w:gridSpan w:val="2"/>
            <w:vAlign w:val="center"/>
          </w:tcPr>
          <w:p>
            <w:pPr>
              <w:pStyle w:val="50"/>
              <w:spacing w:beforeLines="0"/>
            </w:pPr>
            <w:r>
              <w:t>2017年8月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实际总投资</w:t>
            </w:r>
          </w:p>
        </w:tc>
        <w:tc>
          <w:tcPr>
            <w:tcW w:w="2941" w:type="dxa"/>
            <w:vAlign w:val="center"/>
          </w:tcPr>
          <w:p>
            <w:pPr>
              <w:pStyle w:val="50"/>
              <w:spacing w:beforeLines="0"/>
            </w:pPr>
            <w:r>
              <w:t>150万元</w:t>
            </w:r>
          </w:p>
        </w:tc>
        <w:tc>
          <w:tcPr>
            <w:tcW w:w="1416" w:type="dxa"/>
            <w:vAlign w:val="center"/>
          </w:tcPr>
          <w:p>
            <w:pPr>
              <w:pStyle w:val="50"/>
              <w:spacing w:beforeLines="0"/>
            </w:pPr>
            <w:r>
              <w:t>环保投资</w:t>
            </w:r>
          </w:p>
        </w:tc>
        <w:tc>
          <w:tcPr>
            <w:tcW w:w="3168" w:type="dxa"/>
            <w:gridSpan w:val="2"/>
            <w:vAlign w:val="center"/>
          </w:tcPr>
          <w:p>
            <w:pPr>
              <w:pStyle w:val="50"/>
              <w:spacing w:beforeLines="0"/>
            </w:pPr>
            <w:r>
              <w:t>19万元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验收工作由来</w:t>
            </w:r>
          </w:p>
        </w:tc>
        <w:tc>
          <w:tcPr>
            <w:tcW w:w="2941" w:type="dxa"/>
            <w:vAlign w:val="center"/>
          </w:tcPr>
          <w:p>
            <w:pPr>
              <w:pStyle w:val="50"/>
              <w:spacing w:beforeLines="0"/>
            </w:pPr>
            <w:r>
              <w:rPr>
                <w:rFonts w:hint="eastAsia"/>
              </w:rPr>
              <w:t>项目竣工申请验收</w:t>
            </w:r>
          </w:p>
        </w:tc>
        <w:tc>
          <w:tcPr>
            <w:tcW w:w="1416" w:type="dxa"/>
            <w:vAlign w:val="center"/>
          </w:tcPr>
          <w:p>
            <w:pPr>
              <w:pStyle w:val="50"/>
              <w:spacing w:beforeLines="0"/>
            </w:pPr>
            <w:r>
              <w:t>验收工作的组织与启动时间</w:t>
            </w:r>
          </w:p>
        </w:tc>
        <w:tc>
          <w:tcPr>
            <w:tcW w:w="3168" w:type="dxa"/>
            <w:gridSpan w:val="2"/>
            <w:vAlign w:val="center"/>
          </w:tcPr>
          <w:p>
            <w:pPr>
              <w:pStyle w:val="50"/>
              <w:spacing w:beforeLines="0"/>
            </w:pPr>
            <w:r>
              <w:t>2017年</w:t>
            </w:r>
            <w:r>
              <w:rPr>
                <w:rFonts w:hint="eastAsia"/>
              </w:rPr>
              <w:t>12</w:t>
            </w:r>
            <w: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rPr>
                <w:rFonts w:hint="eastAsia"/>
              </w:rPr>
              <w:t>项目竣工验收检测单位</w:t>
            </w:r>
          </w:p>
        </w:tc>
        <w:tc>
          <w:tcPr>
            <w:tcW w:w="2941" w:type="dxa"/>
            <w:vAlign w:val="center"/>
          </w:tcPr>
          <w:p>
            <w:pPr>
              <w:pStyle w:val="50"/>
              <w:spacing w:beforeLines="0"/>
            </w:pPr>
            <w:r>
              <w:rPr>
                <w:rFonts w:hint="eastAsia"/>
              </w:rPr>
              <w:t>山东元通监测有限公司</w:t>
            </w:r>
          </w:p>
        </w:tc>
        <w:tc>
          <w:tcPr>
            <w:tcW w:w="1416" w:type="dxa"/>
            <w:vAlign w:val="center"/>
          </w:tcPr>
          <w:p>
            <w:pPr>
              <w:pStyle w:val="50"/>
              <w:spacing w:beforeLines="0"/>
            </w:pPr>
            <w:r>
              <w:rPr>
                <w:rFonts w:hint="eastAsia"/>
              </w:rPr>
              <w:t>项目竣工验收报告编制单位</w:t>
            </w:r>
          </w:p>
        </w:tc>
        <w:tc>
          <w:tcPr>
            <w:tcW w:w="3168" w:type="dxa"/>
            <w:gridSpan w:val="2"/>
            <w:vAlign w:val="center"/>
          </w:tcPr>
          <w:p>
            <w:pPr>
              <w:pStyle w:val="50"/>
              <w:spacing w:beforeLines="0"/>
            </w:pPr>
            <w:r>
              <w:rPr>
                <w:rFonts w:hint="eastAsia"/>
              </w:rPr>
              <w:t>山东元通监测有限公司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验收范围</w:t>
            </w:r>
          </w:p>
        </w:tc>
        <w:tc>
          <w:tcPr>
            <w:tcW w:w="7525" w:type="dxa"/>
            <w:gridSpan w:val="4"/>
            <w:vAlign w:val="center"/>
          </w:tcPr>
          <w:p>
            <w:pPr>
              <w:pStyle w:val="50"/>
              <w:spacing w:beforeLines="0"/>
            </w:pPr>
            <w:r>
              <w:rPr>
                <w:rFonts w:hint="eastAsia"/>
              </w:rPr>
              <w:t>石膏线条生产线生产车间、石膏贴面板与</w:t>
            </w:r>
            <w:r>
              <w:t>机械</w:t>
            </w:r>
            <w:r>
              <w:rPr>
                <w:rFonts w:hint="eastAsia"/>
              </w:rPr>
              <w:t>设备综合生产车间及其他公用环保工程等。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0" w:hRule="atLeast"/>
          <w:jc w:val="center"/>
        </w:trPr>
        <w:tc>
          <w:tcPr>
            <w:tcW w:w="1632" w:type="dxa"/>
            <w:vAlign w:val="center"/>
          </w:tcPr>
          <w:p>
            <w:pPr>
              <w:pStyle w:val="50"/>
              <w:spacing w:beforeLines="0"/>
            </w:pPr>
            <w:r>
              <w:t>验收内容</w:t>
            </w:r>
          </w:p>
        </w:tc>
        <w:tc>
          <w:tcPr>
            <w:tcW w:w="7525" w:type="dxa"/>
            <w:gridSpan w:val="4"/>
            <w:vAlign w:val="center"/>
          </w:tcPr>
          <w:p>
            <w:pPr>
              <w:pStyle w:val="50"/>
              <w:spacing w:beforeLines="0"/>
              <w:jc w:val="left"/>
            </w:pPr>
            <w:r>
              <w:fldChar w:fldCharType="begin"/>
            </w:r>
            <w:r>
              <w:instrText xml:space="preserve"> = 1 \* GB3 </w:instrText>
            </w:r>
            <w:r>
              <w:fldChar w:fldCharType="separate"/>
            </w:r>
            <w:r>
              <w:rPr>
                <w:rFonts w:hint="eastAsia"/>
              </w:rPr>
              <w:t>①</w:t>
            </w:r>
            <w:r>
              <w:rPr>
                <w:rFonts w:hint="eastAsia"/>
              </w:rPr>
              <w:fldChar w:fldCharType="end"/>
            </w:r>
            <w:r>
              <w:t>核查工程在设计、施工阶段对环评报告、环评批复中所提出的环保措施的落实情况。</w:t>
            </w:r>
          </w:p>
          <w:p>
            <w:pPr>
              <w:pStyle w:val="50"/>
              <w:spacing w:beforeLines="0"/>
              <w:jc w:val="left"/>
            </w:pPr>
            <w:r>
              <w:rPr>
                <w:spacing w:val="-6"/>
              </w:rPr>
              <w:fldChar w:fldCharType="begin"/>
            </w:r>
            <w:r>
              <w:rPr>
                <w:spacing w:val="-6"/>
              </w:rPr>
              <w:instrText xml:space="preserve"> </w:instrText>
            </w:r>
            <w:r>
              <w:rPr>
                <w:rFonts w:hint="eastAsia"/>
                <w:spacing w:val="-6"/>
              </w:rPr>
              <w:instrText xml:space="preserve">= 2 \* GB3</w:instrText>
            </w:r>
            <w:r>
              <w:rPr>
                <w:spacing w:val="-6"/>
              </w:rPr>
              <w:instrText xml:space="preserve"> </w:instrText>
            </w:r>
            <w:r>
              <w:rPr>
                <w:spacing w:val="-6"/>
              </w:rPr>
              <w:fldChar w:fldCharType="separate"/>
            </w:r>
            <w:r>
              <w:rPr>
                <w:rFonts w:hint="eastAsia"/>
                <w:spacing w:val="-6"/>
              </w:rPr>
              <w:t>②</w:t>
            </w:r>
            <w:r>
              <w:rPr>
                <w:spacing w:val="-6"/>
              </w:rPr>
              <w:fldChar w:fldCharType="end"/>
            </w:r>
            <w:r>
              <w:rPr>
                <w:spacing w:val="-6"/>
              </w:rPr>
              <w:t>核查</w:t>
            </w:r>
            <w:r>
              <w:t>工程</w:t>
            </w:r>
            <w:r>
              <w:rPr>
                <w:spacing w:val="-6"/>
              </w:rPr>
              <w:t>实际建设内容、实际生产能力、产品内容及原辅助的使用情况</w:t>
            </w:r>
            <w:r>
              <w:t>。</w:t>
            </w:r>
          </w:p>
          <w:p>
            <w:pPr>
              <w:pStyle w:val="50"/>
              <w:spacing w:beforeLines="0"/>
              <w:jc w:val="left"/>
            </w:pPr>
            <w:r>
              <w:fldChar w:fldCharType="begin"/>
            </w:r>
            <w:r>
              <w:instrText xml:space="preserve"> = 3 \* GB3 </w:instrText>
            </w:r>
            <w:r>
              <w:fldChar w:fldCharType="separate"/>
            </w:r>
            <w:r>
              <w:rPr>
                <w:rFonts w:hint="eastAsia"/>
              </w:rPr>
              <w:t>③</w:t>
            </w:r>
            <w:r>
              <w:rPr>
                <w:rFonts w:hint="eastAsia"/>
              </w:rPr>
              <w:fldChar w:fldCharType="end"/>
            </w:r>
            <w:r>
              <w:t>核查各类污染物实际产生情况及采取的污染控制措施，分析各项污染控制措施实施的有效性；通过现场检查和实地监测，核查污染物达标排放情况及污染物排放总量的落实情况。</w:t>
            </w:r>
          </w:p>
          <w:p>
            <w:pPr>
              <w:pStyle w:val="50"/>
              <w:spacing w:beforeLines="0"/>
              <w:jc w:val="left"/>
            </w:pPr>
            <w:r>
              <w:fldChar w:fldCharType="begin"/>
            </w:r>
            <w:r>
              <w:instrText xml:space="preserve"> = 4 \* GB3 </w:instrText>
            </w:r>
            <w:r>
              <w:fldChar w:fldCharType="separate"/>
            </w:r>
            <w:r>
              <w:rPr>
                <w:rFonts w:hint="eastAsia"/>
              </w:rPr>
              <w:t>④</w:t>
            </w:r>
            <w:r>
              <w:rPr>
                <w:rFonts w:hint="eastAsia"/>
              </w:rPr>
              <w:fldChar w:fldCharType="end"/>
            </w:r>
            <w:r>
              <w:t>核查环境风险防范措施和应急预案的制定和执行情况，核查环保管理制定和实施情况，相应的环保机构、人员和监测设备的配备情况。</w:t>
            </w:r>
          </w:p>
          <w:p>
            <w:pPr>
              <w:pStyle w:val="50"/>
              <w:spacing w:beforeLines="0"/>
              <w:jc w:val="left"/>
            </w:pPr>
            <w:r>
              <w:fldChar w:fldCharType="begin"/>
            </w:r>
            <w:r>
              <w:instrText xml:space="preserve"> = 5 \* GB3 </w:instrText>
            </w:r>
            <w:r>
              <w:fldChar w:fldCharType="separate"/>
            </w:r>
            <w:r>
              <w:rPr>
                <w:rFonts w:hint="eastAsia"/>
              </w:rPr>
              <w:t>⑤</w:t>
            </w:r>
            <w:r>
              <w:rPr>
                <w:rFonts w:hint="eastAsia"/>
              </w:rPr>
              <w:fldChar w:fldCharType="end"/>
            </w:r>
            <w:r>
              <w:t>核查工程周边敏感保护目标分布及受影响情况；核查卫生防护距离内是否有新建环境敏感建筑物。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是否编制了验收监测方案</w:t>
            </w:r>
          </w:p>
        </w:tc>
        <w:tc>
          <w:tcPr>
            <w:tcW w:w="2941" w:type="dxa"/>
            <w:vAlign w:val="center"/>
          </w:tcPr>
          <w:p>
            <w:pPr>
              <w:pStyle w:val="50"/>
              <w:spacing w:beforeLines="0"/>
            </w:pPr>
            <w:r>
              <w:t>是</w:t>
            </w:r>
          </w:p>
        </w:tc>
        <w:tc>
          <w:tcPr>
            <w:tcW w:w="1927" w:type="dxa"/>
            <w:gridSpan w:val="2"/>
            <w:vAlign w:val="center"/>
          </w:tcPr>
          <w:p>
            <w:pPr>
              <w:pStyle w:val="50"/>
              <w:spacing w:beforeLines="0"/>
            </w:pPr>
            <w:r>
              <w:t>方案编制时间</w:t>
            </w:r>
          </w:p>
        </w:tc>
        <w:tc>
          <w:tcPr>
            <w:tcW w:w="2657" w:type="dxa"/>
            <w:vAlign w:val="center"/>
          </w:tcPr>
          <w:p>
            <w:pPr>
              <w:pStyle w:val="50"/>
              <w:spacing w:beforeLines="0"/>
            </w:pPr>
            <w:r>
              <w:t>2017年</w:t>
            </w:r>
            <w:r>
              <w:rPr>
                <w:rFonts w:hint="eastAsia"/>
              </w:rPr>
              <w:t>12</w:t>
            </w:r>
            <w: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现场验收监测时间</w:t>
            </w:r>
          </w:p>
        </w:tc>
        <w:tc>
          <w:tcPr>
            <w:tcW w:w="2941" w:type="dxa"/>
            <w:vAlign w:val="center"/>
          </w:tcPr>
          <w:p>
            <w:pPr>
              <w:pStyle w:val="50"/>
              <w:spacing w:beforeLines="0"/>
            </w:pPr>
            <w:r>
              <w:t>2017年12月21日~22日</w:t>
            </w:r>
          </w:p>
        </w:tc>
        <w:tc>
          <w:tcPr>
            <w:tcW w:w="1927" w:type="dxa"/>
            <w:gridSpan w:val="2"/>
            <w:vAlign w:val="center"/>
          </w:tcPr>
          <w:p>
            <w:pPr>
              <w:pStyle w:val="50"/>
              <w:spacing w:beforeLines="0"/>
            </w:pPr>
            <w:r>
              <w:t>验收</w:t>
            </w:r>
            <w:r>
              <w:rPr>
                <w:rFonts w:hint="eastAsia"/>
              </w:rPr>
              <w:t>工作的组织与启动时间</w:t>
            </w:r>
          </w:p>
        </w:tc>
        <w:tc>
          <w:tcPr>
            <w:tcW w:w="2657" w:type="dxa"/>
            <w:vAlign w:val="center"/>
          </w:tcPr>
          <w:p>
            <w:pPr>
              <w:pStyle w:val="50"/>
              <w:spacing w:beforeLines="0"/>
            </w:pPr>
            <w:r>
              <w:rPr>
                <w:rFonts w:hint="eastAsia"/>
              </w:rPr>
              <w:t>2017年12月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环评批复总量控制指标</w:t>
            </w:r>
          </w:p>
        </w:tc>
        <w:tc>
          <w:tcPr>
            <w:tcW w:w="7525" w:type="dxa"/>
            <w:gridSpan w:val="4"/>
            <w:vAlign w:val="center"/>
          </w:tcPr>
          <w:p>
            <w:pPr>
              <w:pStyle w:val="50"/>
              <w:spacing w:beforeLines="0"/>
              <w:rPr>
                <w:spacing w:val="20"/>
              </w:rPr>
            </w:pPr>
            <w:r>
              <w:rPr>
                <w:rFonts w:hint="eastAsia"/>
                <w:spacing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632" w:type="dxa"/>
            <w:vAlign w:val="center"/>
          </w:tcPr>
          <w:p>
            <w:pPr>
              <w:pStyle w:val="50"/>
              <w:spacing w:beforeLines="0"/>
            </w:pPr>
            <w:r>
              <w:t>运行时间</w:t>
            </w:r>
          </w:p>
        </w:tc>
        <w:tc>
          <w:tcPr>
            <w:tcW w:w="7525" w:type="dxa"/>
            <w:gridSpan w:val="4"/>
            <w:vAlign w:val="center"/>
          </w:tcPr>
          <w:p>
            <w:pPr>
              <w:pStyle w:val="50"/>
              <w:spacing w:beforeLines="0"/>
            </w:pPr>
            <w:r>
              <w:t>年运行300天，</w:t>
            </w:r>
            <w:r>
              <w:rPr>
                <w:rFonts w:hint="eastAsia"/>
              </w:rPr>
              <w:t>一班工作制，每班8小时</w:t>
            </w:r>
            <w:r>
              <w:t>。</w:t>
            </w:r>
          </w:p>
        </w:tc>
      </w:tr>
    </w:tbl>
    <w:p>
      <w:pPr>
        <w:pStyle w:val="2"/>
        <w:spacing w:before="177" w:afterLines="0" w:line="240" w:lineRule="auto"/>
      </w:pPr>
      <w:bookmarkStart w:id="3" w:name="_Toc499059447"/>
      <w:bookmarkStart w:id="4" w:name="_Toc499060184"/>
      <w:bookmarkStart w:id="5" w:name="_Toc502699351"/>
      <w:r>
        <w:t>2验收依据</w:t>
      </w:r>
      <w:bookmarkEnd w:id="3"/>
      <w:bookmarkEnd w:id="4"/>
      <w:bookmarkEnd w:id="5"/>
    </w:p>
    <w:p>
      <w:pPr>
        <w:pStyle w:val="3"/>
        <w:spacing w:before="70" w:after="70"/>
      </w:pPr>
      <w:bookmarkStart w:id="6" w:name="_Toc502699352"/>
      <w:bookmarkStart w:id="7" w:name="_Toc499059448"/>
      <w:bookmarkStart w:id="8" w:name="_Toc499060185"/>
      <w:r>
        <w:t>2.1建设项目环境保护相关法律、法规、规章、标准和规范</w:t>
      </w:r>
      <w:bookmarkEnd w:id="6"/>
      <w:bookmarkEnd w:id="7"/>
      <w:bookmarkEnd w:id="8"/>
    </w:p>
    <w:p>
      <w:pPr>
        <w:ind w:firstLine="520"/>
      </w:pPr>
      <w:r>
        <w:t>《中华人民共和国环境保护法》（2015年1月）；</w:t>
      </w:r>
    </w:p>
    <w:p>
      <w:pPr>
        <w:ind w:firstLine="520"/>
      </w:pPr>
      <w:r>
        <w:t>《中华人民共和国水污染防治法》（2017年6月修订）；</w:t>
      </w:r>
    </w:p>
    <w:p>
      <w:pPr>
        <w:ind w:firstLine="520"/>
      </w:pPr>
      <w:r>
        <w:t>《中华人民共和国大气污染防治法》（2016年1月）；</w:t>
      </w:r>
    </w:p>
    <w:p>
      <w:pPr>
        <w:ind w:firstLine="520"/>
      </w:pPr>
      <w:r>
        <w:t>《中华人民共和国固体废物污染环境防治法》（2015年修订）；</w:t>
      </w:r>
    </w:p>
    <w:p>
      <w:pPr>
        <w:ind w:firstLine="520"/>
      </w:pPr>
      <w:r>
        <w:t>《中华人民共和国环境影响评价法》（2016年9月）；</w:t>
      </w:r>
    </w:p>
    <w:p>
      <w:pPr>
        <w:ind w:firstLine="520"/>
      </w:pPr>
      <w:r>
        <w:t>《中华人民共和国突发事件应对法》（2007年8月）；</w:t>
      </w:r>
    </w:p>
    <w:p>
      <w:pPr>
        <w:ind w:firstLine="520"/>
      </w:pPr>
      <w:r>
        <w:t>《关于印发大气污染防治行动计划的通知》（国发[2013]37号）；</w:t>
      </w:r>
    </w:p>
    <w:p>
      <w:pPr>
        <w:ind w:firstLine="520"/>
      </w:pPr>
      <w:r>
        <w:t>《关于印发水污染防治行动计划的通知》（国发〔2015〕17号）；</w:t>
      </w:r>
    </w:p>
    <w:p>
      <w:pPr>
        <w:ind w:firstLine="520"/>
      </w:pPr>
      <w:r>
        <w:t>《关于印发土壤污染防治行动计划的通知》（国发〔2016〕31号）；</w:t>
      </w:r>
    </w:p>
    <w:p>
      <w:pPr>
        <w:ind w:firstLine="520"/>
      </w:pPr>
      <w:r>
        <w:t>《国务院关于进一步加强淘汰落后产能工作的通知》国发[2010]7号，2010年2月6日；</w:t>
      </w:r>
    </w:p>
    <w:p>
      <w:pPr>
        <w:ind w:firstLine="520"/>
      </w:pPr>
      <w:r>
        <w:t>《建设项目环境影响评价分类管理名录》（2017）；</w:t>
      </w:r>
    </w:p>
    <w:p>
      <w:pPr>
        <w:ind w:firstLine="520"/>
      </w:pPr>
      <w:r>
        <w:t>《建设项目环境影响评价分类管理名录》（2015）；</w:t>
      </w:r>
    </w:p>
    <w:p>
      <w:pPr>
        <w:ind w:firstLine="520"/>
      </w:pPr>
      <w:r>
        <w:t>《产业结构调整指导目录》（2011年本）（2013年修正）；</w:t>
      </w:r>
    </w:p>
    <w:p>
      <w:pPr>
        <w:ind w:firstLine="520"/>
      </w:pPr>
      <w:r>
        <w:t>《大气污染物综合排放标准》（GB</w:t>
      </w:r>
      <w:r>
        <w:rPr>
          <w:rFonts w:hint="eastAsia"/>
        </w:rPr>
        <w:t xml:space="preserve"> </w:t>
      </w:r>
      <w:r>
        <w:t>16297-1996）；</w:t>
      </w:r>
    </w:p>
    <w:p>
      <w:pPr>
        <w:ind w:firstLine="520"/>
      </w:pPr>
      <w:r>
        <w:t>《工业企业厂界环境噪声排放标准》（GB12348-2008）；</w:t>
      </w:r>
    </w:p>
    <w:p>
      <w:pPr>
        <w:ind w:firstLine="520"/>
      </w:pPr>
      <w:r>
        <w:t>《山东省区域性大气污染物综合排放标准》（DB37/2376</w:t>
      </w:r>
      <w:r>
        <w:rPr>
          <w:rFonts w:hint="eastAsia"/>
        </w:rPr>
        <w:t>-</w:t>
      </w:r>
      <w:r>
        <w:t>2013）；</w:t>
      </w:r>
    </w:p>
    <w:p>
      <w:pPr>
        <w:pStyle w:val="3"/>
        <w:spacing w:beforeLines="0" w:afterLines="0"/>
      </w:pPr>
      <w:bookmarkStart w:id="9" w:name="_Toc502699353"/>
      <w:bookmarkStart w:id="10" w:name="_Toc499059449"/>
      <w:bookmarkStart w:id="11" w:name="_Toc499060186"/>
      <w:r>
        <w:t>2.2建设项目竣工环境保护验收技术规范</w:t>
      </w:r>
      <w:bookmarkEnd w:id="9"/>
      <w:bookmarkEnd w:id="10"/>
      <w:bookmarkEnd w:id="11"/>
    </w:p>
    <w:p>
      <w:pPr>
        <w:ind w:firstLine="520"/>
      </w:pPr>
      <w:r>
        <w:t>《环境保护部建设项目“三同时”监督检查和竣工环保验收验收管理规程》（试行）（2009.12.17）；</w:t>
      </w:r>
    </w:p>
    <w:p>
      <w:pPr>
        <w:ind w:firstLine="520"/>
      </w:pPr>
      <w:r>
        <w:rPr>
          <w:rFonts w:hint="eastAsia"/>
        </w:rPr>
        <w:t>国务院令[1998]第253号《建设项目环境保护管理条例》及《国务院关于修改〈建设项目环境保护管理条例〉的决定》(2017年7月16日)；</w:t>
      </w:r>
    </w:p>
    <w:p>
      <w:pPr>
        <w:ind w:firstLine="520"/>
      </w:pPr>
      <w:r>
        <w:t>《建设项目竣工环境保护验收管理办法》（国家环保总局第13号令，2010年修改）</w:t>
      </w:r>
      <w:r>
        <w:rPr>
          <w:rFonts w:hint="eastAsia"/>
        </w:rPr>
        <w:t>及环境保护部《建设项目竣工环境保护验收暂行办法》（国环规环评[2017]4号）（2017年11月20日）</w:t>
      </w:r>
      <w:r>
        <w:t>；</w:t>
      </w:r>
    </w:p>
    <w:p>
      <w:pPr>
        <w:ind w:firstLine="520"/>
      </w:pPr>
      <w:r>
        <w:t>《污染源自动监控管理办法》（原国家环保总局令第28号）；</w:t>
      </w:r>
    </w:p>
    <w:p>
      <w:pPr>
        <w:ind w:firstLine="520"/>
      </w:pPr>
      <w:r>
        <w:t>《关于建设项目竣工环境保护验收实行公示的通知》（环办〔2003〕26号）；</w:t>
      </w:r>
    </w:p>
    <w:p>
      <w:pPr>
        <w:ind w:firstLine="520"/>
      </w:pPr>
      <w:r>
        <w:t>《关于加强建设项目竣工环境保护验收监测工作污染事故防范环境管理检查工作的通知》（中国环境监测总站验字〔2005〕188号）；</w:t>
      </w:r>
    </w:p>
    <w:p>
      <w:pPr>
        <w:ind w:firstLine="520"/>
      </w:pPr>
      <w:r>
        <w:t>《关于进一步加强环境影响评价管理防范环境风险的通知》（环发〔2012〕77号）；</w:t>
      </w:r>
    </w:p>
    <w:p>
      <w:pPr>
        <w:ind w:firstLine="520"/>
      </w:pPr>
      <w:r>
        <w:t>《关于切实加强风险防范严格环境影响评价管理的通知》（环发〔2012〕98号）；</w:t>
      </w:r>
    </w:p>
    <w:p>
      <w:pPr>
        <w:ind w:firstLine="520"/>
      </w:pPr>
      <w:r>
        <w:t>《关于印发环评管理中部分行业建设项目重大变动清单的通知》（环办〔2015〕52号）；</w:t>
      </w:r>
    </w:p>
    <w:p>
      <w:pPr>
        <w:ind w:firstLine="520"/>
      </w:pPr>
      <w:r>
        <w:t>《关于印发&lt;建设项目环境保护事中事后监督管理办法（实行）&gt;的通知》（环发〔2015〕163号）；</w:t>
      </w:r>
    </w:p>
    <w:p>
      <w:pPr>
        <w:ind w:firstLine="520"/>
      </w:pPr>
      <w:r>
        <w:t>《山东省人民政府办公厅关于加强环境影响评价和建设项目环境保护设施“三同时”管理工作的通知》（鲁政办发〔2006〕60号）；</w:t>
      </w:r>
    </w:p>
    <w:p>
      <w:pPr>
        <w:ind w:firstLine="520"/>
      </w:pPr>
      <w:r>
        <w:t>《关于印发〈建设项目环评审批的具体操作程序〉和〈建设项目竣工环境保护验收的具体操作程序〉的通知》（鲁环发〔2007〕147号）；</w:t>
      </w:r>
    </w:p>
    <w:p>
      <w:pPr>
        <w:ind w:firstLine="520"/>
      </w:pPr>
      <w:r>
        <w:t>《关于构建全省环境安全防控体系的实施意见》（鲁环发〔2009〕80号）；</w:t>
      </w:r>
    </w:p>
    <w:p>
      <w:pPr>
        <w:ind w:firstLine="520"/>
      </w:pPr>
      <w:r>
        <w:t>《关于加强建设项目竣工环境保护验收等有关环境监管问题的通知》（鲁环函〔2012〕493号）；</w:t>
      </w:r>
    </w:p>
    <w:p>
      <w:pPr>
        <w:ind w:firstLine="520"/>
      </w:pPr>
      <w:r>
        <w:t>《山东省环境保护厅转发&lt;关于切实加强风险防范严格环境影响评价管理的通知&gt;的通知》（鲁环函〔2012〕509号）；</w:t>
      </w:r>
    </w:p>
    <w:p>
      <w:pPr>
        <w:ind w:firstLine="520"/>
      </w:pPr>
      <w:r>
        <w:t>《关于加强建设项目环境影响评价公众参与监督管理工作的通知》（鲁环评函〔2012〕138号）；</w:t>
      </w:r>
    </w:p>
    <w:p>
      <w:pPr>
        <w:ind w:firstLine="520"/>
      </w:pPr>
      <w:r>
        <w:rPr>
          <w:rFonts w:hint="eastAsia"/>
        </w:rPr>
        <w:t>《关于印发建设项目竣工环境保护验收现场检查及审查要点的通知》环办[2015]113号（2015年12月30日）；</w:t>
      </w:r>
    </w:p>
    <w:p>
      <w:pPr>
        <w:ind w:firstLine="520"/>
      </w:pPr>
      <w:r>
        <w:rPr>
          <w:rFonts w:hint="eastAsia"/>
        </w:rPr>
        <w:t>《建设项目竣工环境保护验收技术指南 污染影响类》（征求意见稿）（环办环评函[2017]1529号）（2017年9月29日）</w:t>
      </w:r>
    </w:p>
    <w:p>
      <w:pPr>
        <w:ind w:firstLine="520"/>
      </w:pPr>
      <w:r>
        <w:t xml:space="preserve">《临沂市建设项目竣工环境保护验收过渡期指导意见》（临环函〔2017〕219号） </w:t>
      </w:r>
    </w:p>
    <w:p>
      <w:pPr>
        <w:pStyle w:val="3"/>
        <w:spacing w:beforeLines="0" w:afterLines="0"/>
      </w:pPr>
      <w:bookmarkStart w:id="12" w:name="_Toc499060187"/>
      <w:bookmarkStart w:id="13" w:name="_Toc502699354"/>
      <w:bookmarkStart w:id="14" w:name="_Toc499059450"/>
      <w:r>
        <w:t>2.3建设项目环境影响报告表及审批部门审批决定</w:t>
      </w:r>
      <w:bookmarkEnd w:id="12"/>
      <w:bookmarkEnd w:id="13"/>
      <w:bookmarkEnd w:id="14"/>
    </w:p>
    <w:p>
      <w:pPr>
        <w:ind w:firstLine="520"/>
      </w:pPr>
      <w:r>
        <w:t>《临沂周兴建材有限公司生产加工石膏贴面板、石膏制品和机械加工项目环境影响报告表》及批复（临环高表[2017]62号）</w:t>
      </w:r>
    </w:p>
    <w:p>
      <w:pPr>
        <w:pStyle w:val="2"/>
        <w:spacing w:before="177" w:after="106"/>
        <w:rPr>
          <w:color w:val="3E3E3E"/>
        </w:rPr>
      </w:pPr>
      <w:bookmarkStart w:id="15" w:name="_Toc499059452"/>
      <w:bookmarkStart w:id="16" w:name="_Toc499060189"/>
      <w:bookmarkStart w:id="17" w:name="_Toc502699355"/>
      <w:r>
        <w:t>3工程建设情况</w:t>
      </w:r>
      <w:bookmarkEnd w:id="15"/>
      <w:bookmarkEnd w:id="16"/>
      <w:bookmarkEnd w:id="17"/>
    </w:p>
    <w:p>
      <w:pPr>
        <w:pStyle w:val="3"/>
        <w:spacing w:before="70" w:after="70"/>
      </w:pPr>
      <w:bookmarkStart w:id="18" w:name="_Toc499059453"/>
      <w:bookmarkStart w:id="19" w:name="_Toc499060190"/>
      <w:bookmarkStart w:id="20" w:name="_Toc502699356"/>
      <w:r>
        <w:t>3.1地理位置及平面布置</w:t>
      </w:r>
      <w:bookmarkEnd w:id="18"/>
      <w:bookmarkEnd w:id="19"/>
      <w:bookmarkEnd w:id="20"/>
    </w:p>
    <w:p>
      <w:pPr>
        <w:pStyle w:val="4"/>
        <w:spacing w:before="70"/>
      </w:pPr>
      <w:bookmarkStart w:id="21" w:name="_Toc499059454"/>
      <w:bookmarkStart w:id="22" w:name="_Toc499060191"/>
      <w:r>
        <w:t>3.1.1地理位置</w:t>
      </w:r>
      <w:bookmarkEnd w:id="21"/>
      <w:bookmarkEnd w:id="22"/>
    </w:p>
    <w:p>
      <w:pPr>
        <w:ind w:firstLine="520"/>
      </w:pPr>
      <w:r>
        <w:t>临沂周兴建材有限公司生产加工石膏贴面板、石膏制品和机械加工项目位于临沂国家高新技术产业开发区罗西街道朱隆工业</w:t>
      </w:r>
      <w:r>
        <w:rPr>
          <w:rFonts w:hint="eastAsia"/>
        </w:rPr>
        <w:t>内</w:t>
      </w:r>
      <w:r>
        <w:t>园</w:t>
      </w:r>
      <w:r>
        <w:rPr>
          <w:rFonts w:hint="eastAsia"/>
        </w:rPr>
        <w:t>，占地面积19343平方米</w:t>
      </w:r>
      <w:r>
        <w:t>。所在区域地势平坦，</w:t>
      </w:r>
      <w:r>
        <w:rPr>
          <w:rFonts w:hint="eastAsia"/>
        </w:rPr>
        <w:t>地质较为平坦，</w:t>
      </w:r>
      <w:r>
        <w:t>周边交通便捷。</w:t>
      </w:r>
      <w:r>
        <w:rPr>
          <w:rFonts w:hint="eastAsia"/>
        </w:rPr>
        <w:t>项目东侧、西侧均为企业，北侧为园区道路，南侧为空地，距离该项目最近的敏感目标为距南边界约240m的北白埠子村。</w:t>
      </w:r>
      <w:r>
        <w:t>项目地理位置</w:t>
      </w:r>
      <w:r>
        <w:rPr>
          <w:rFonts w:hint="eastAsia"/>
        </w:rPr>
        <w:t>及周围环境情况见图3.1-1。</w:t>
      </w:r>
    </w:p>
    <w:p>
      <w:pPr>
        <w:pStyle w:val="4"/>
        <w:spacing w:before="70"/>
      </w:pPr>
      <w:r>
        <w:t>3.1.2平面布置</w:t>
      </w:r>
    </w:p>
    <w:p>
      <w:pPr>
        <w:ind w:firstLine="520"/>
      </w:pPr>
      <w:r>
        <w:rPr>
          <w:rFonts w:hint="eastAsia"/>
        </w:rPr>
        <w:t>该项目占地面积19343平方米，主要建设生产厂房和办公楼等。厂区北侧东部设有1个主要出入口，方便项目区内人员及运输车辆出入。该项目北侧为石膏线条生产线厂房，南侧建有生产综合厂房，内设有生产加工区域和原料和产品储存区域，建设有1条石膏贴面板生产线和1条机械设备加工生产线，办公室位于厂区西南侧。厂区内设置环形道路，便于运输、消防、检修及各部门联系。该项目生产区、办公区分开设置，优化办公环境的同时，可以减少生产安全隐患，厂区平面布置图见图3.1-2。</w:t>
      </w:r>
    </w:p>
    <w:p/>
    <w:p/>
    <w:p/>
    <w:p/>
    <w:p/>
    <w:p/>
    <w:p>
      <w:pPr>
        <w:pStyle w:val="4"/>
        <w:spacing w:before="70"/>
        <w:sectPr>
          <w:footerReference r:id="rId20" w:type="default"/>
          <w:type w:val="continuous"/>
          <w:pgSz w:w="11906" w:h="16838"/>
          <w:pgMar w:top="1440" w:right="1588" w:bottom="1191" w:left="1588" w:header="850" w:footer="992" w:gutter="0"/>
          <w:pgNumType w:start="1"/>
          <w:cols w:space="425" w:num="1"/>
          <w:docGrid w:type="lines" w:linePitch="354" w:charSpace="0"/>
        </w:sectPr>
      </w:pPr>
      <w:bookmarkStart w:id="23" w:name="_Toc499059455"/>
      <w:bookmarkStart w:id="24" w:name="_Toc499060192"/>
    </w:p>
    <w:p>
      <w:pPr>
        <w:pStyle w:val="4"/>
        <w:spacing w:before="70"/>
      </w:pPr>
      <w:r>
        <w:rPr>
          <w:bCs w:val="0"/>
        </w:rPr>
        <w:drawing>
          <wp:inline distT="0" distB="0" distL="0" distR="0">
            <wp:extent cx="8463280" cy="5092700"/>
            <wp:effectExtent l="19050" t="0" r="0" b="0"/>
            <wp:docPr id="1" name="图片 0"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未标题-1.jpg"/>
                    <pic:cNvPicPr>
                      <a:picLocks noChangeAspect="1"/>
                    </pic:cNvPicPr>
                  </pic:nvPicPr>
                  <pic:blipFill>
                    <a:blip r:embed="rId41" cstate="print"/>
                    <a:stretch>
                      <a:fillRect/>
                    </a:stretch>
                  </pic:blipFill>
                  <pic:spPr>
                    <a:xfrm>
                      <a:off x="0" y="0"/>
                      <a:ext cx="8463280" cy="5093248"/>
                    </a:xfrm>
                    <a:prstGeom prst="rect">
                      <a:avLst/>
                    </a:prstGeom>
                  </pic:spPr>
                </pic:pic>
              </a:graphicData>
            </a:graphic>
          </wp:inline>
        </w:drawing>
      </w:r>
    </w:p>
    <w:p>
      <w:pPr>
        <w:ind w:firstLine="643"/>
        <w:jc w:val="center"/>
        <w:rPr>
          <w:sz w:val="24"/>
          <w:szCs w:val="24"/>
        </w:rPr>
        <w:sectPr>
          <w:footerReference r:id="rId21" w:type="default"/>
          <w:footerReference r:id="rId22" w:type="even"/>
          <w:pgSz w:w="16838" w:h="11906" w:orient="landscape"/>
          <w:pgMar w:top="1588" w:right="1440" w:bottom="1474" w:left="1440" w:header="964" w:footer="964" w:gutter="0"/>
          <w:cols w:space="425" w:num="1"/>
          <w:docGrid w:type="lines" w:linePitch="354" w:charSpace="0"/>
        </w:sectPr>
      </w:pPr>
      <w:r>
        <w:rPr>
          <w:rFonts w:hint="eastAsia"/>
          <w:sz w:val="24"/>
          <w:szCs w:val="24"/>
        </w:rPr>
        <w:t>图3.1-1  项目地理位置及周围环境情况</w:t>
      </w:r>
    </w:p>
    <w:p>
      <w:pPr>
        <w:ind w:firstLine="643"/>
        <w:jc w:val="center"/>
        <w:rPr>
          <w:b/>
          <w:sz w:val="32"/>
        </w:rPr>
      </w:pPr>
      <w:r>
        <w:rPr>
          <w:b/>
          <w:sz w:val="32"/>
        </w:rPr>
        <w:pict>
          <v:rect id="_x0000_s1361" o:spid="_x0000_s1361" o:spt="1" style="position:absolute;left:0pt;margin-left:661.5pt;margin-top:-4.4pt;height:21.75pt;width:19.5pt;z-index:251728896;mso-width-relative:page;mso-height-relative:page;" stroked="f" coordsize="21600,21600">
            <v:path/>
            <v:fill focussize="0,0"/>
            <v:stroke on="f"/>
            <v:imagedata o:title=""/>
            <o:lock v:ext="edit"/>
            <v:textbox>
              <w:txbxContent>
                <w:p>
                  <w:pPr>
                    <w:rPr>
                      <w:sz w:val="22"/>
                    </w:rPr>
                  </w:pPr>
                  <w:r>
                    <w:rPr>
                      <w:rFonts w:hint="eastAsia"/>
                      <w:sz w:val="22"/>
                    </w:rPr>
                    <w:t>N</w:t>
                  </w:r>
                </w:p>
              </w:txbxContent>
            </v:textbox>
          </v:rect>
        </w:pict>
      </w:r>
      <w:r>
        <w:rPr>
          <w:b/>
          <w:sz w:val="32"/>
        </w:rPr>
        <w:pict>
          <v:shape id="_x0000_s1360" o:spid="_x0000_s1360" o:spt="32" type="#_x0000_t32" style="position:absolute;left:0pt;flip:y;margin-left:654.75pt;margin-top:-1.4pt;height:41.25pt;width:0pt;z-index:251727872;mso-width-relative:page;mso-height-relative:page;" o:connectortype="straight" filled="f" coordsize="21600,21600">
            <v:path arrowok="t"/>
            <v:fill on="f" focussize="0,0"/>
            <v:stroke endarrow="block"/>
            <v:imagedata o:title=""/>
            <o:lock v:ext="edit"/>
          </v:shape>
        </w:pict>
      </w:r>
    </w:p>
    <w:p>
      <w:pPr>
        <w:pStyle w:val="4"/>
        <w:spacing w:before="70"/>
        <w:jc w:val="center"/>
      </w:pPr>
      <w:r>
        <w:rPr>
          <w:bCs w:val="0"/>
          <w:color w:val="FF0000"/>
        </w:rPr>
        <w:drawing>
          <wp:inline distT="0" distB="0" distL="0" distR="0">
            <wp:extent cx="5808980" cy="4117340"/>
            <wp:effectExtent l="19050" t="0" r="762" b="0"/>
            <wp:docPr id="2" name="图片 1"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未标题-2.jpg"/>
                    <pic:cNvPicPr>
                      <a:picLocks noChangeAspect="1"/>
                    </pic:cNvPicPr>
                  </pic:nvPicPr>
                  <pic:blipFill>
                    <a:blip r:embed="rId42" cstate="print"/>
                    <a:stretch>
                      <a:fillRect/>
                    </a:stretch>
                  </pic:blipFill>
                  <pic:spPr>
                    <a:xfrm>
                      <a:off x="0" y="0"/>
                      <a:ext cx="5809488" cy="4117848"/>
                    </a:xfrm>
                    <a:prstGeom prst="rect">
                      <a:avLst/>
                    </a:prstGeom>
                  </pic:spPr>
                </pic:pic>
              </a:graphicData>
            </a:graphic>
          </wp:inline>
        </w:drawing>
      </w:r>
    </w:p>
    <w:p>
      <w:pPr>
        <w:ind w:firstLine="643"/>
        <w:jc w:val="center"/>
        <w:rPr>
          <w:sz w:val="24"/>
          <w:szCs w:val="24"/>
        </w:rPr>
      </w:pPr>
    </w:p>
    <w:p>
      <w:pPr>
        <w:ind w:firstLine="643"/>
        <w:jc w:val="center"/>
        <w:rPr>
          <w:sz w:val="24"/>
          <w:szCs w:val="24"/>
        </w:rPr>
      </w:pPr>
    </w:p>
    <w:p>
      <w:pPr>
        <w:ind w:firstLine="643"/>
        <w:jc w:val="center"/>
        <w:rPr>
          <w:sz w:val="24"/>
          <w:szCs w:val="24"/>
        </w:rPr>
      </w:pPr>
      <w:r>
        <w:rPr>
          <w:rFonts w:hint="eastAsia"/>
          <w:sz w:val="24"/>
          <w:szCs w:val="24"/>
        </w:rPr>
        <w:t>图3.1-2  厂区平面布置图</w:t>
      </w:r>
    </w:p>
    <w:p>
      <w:pPr>
        <w:rPr>
          <w:b/>
          <w:sz w:val="32"/>
        </w:rPr>
        <w:sectPr>
          <w:pgSz w:w="16838" w:h="11906" w:orient="landscape"/>
          <w:pgMar w:top="1588" w:right="1440" w:bottom="1474" w:left="1440" w:header="964" w:footer="964" w:gutter="0"/>
          <w:cols w:space="425" w:num="1"/>
          <w:docGrid w:type="lines" w:linePitch="354" w:charSpace="0"/>
        </w:sectPr>
      </w:pPr>
      <w:r>
        <w:rPr>
          <w:b/>
          <w:sz w:val="32"/>
        </w:rPr>
        <w:pict>
          <v:rect id="_x0000_s1210" o:spid="_x0000_s1210" o:spt="1" style="position:absolute;left:0pt;margin-left:246.75pt;margin-top:418.6pt;height:24pt;width:23.25pt;z-index:251673600;mso-width-relative:page;mso-height-relative:page;" stroked="f" coordsize="21600,21600">
            <v:path/>
            <v:fill focussize="0,0"/>
            <v:stroke on="f"/>
            <v:imagedata o:title=""/>
            <o:lock v:ext="edit"/>
          </v:rect>
        </w:pict>
      </w:r>
      <w:bookmarkEnd w:id="23"/>
      <w:bookmarkEnd w:id="24"/>
    </w:p>
    <w:p>
      <w:pPr>
        <w:pStyle w:val="3"/>
        <w:spacing w:before="70" w:after="70"/>
      </w:pPr>
      <w:bookmarkStart w:id="25" w:name="_Toc499060193"/>
      <w:bookmarkStart w:id="26" w:name="_Toc502699357"/>
      <w:bookmarkStart w:id="27" w:name="_Toc499059456"/>
      <w:r>
        <w:t>3.2建设内容</w:t>
      </w:r>
      <w:bookmarkEnd w:id="25"/>
      <w:bookmarkEnd w:id="26"/>
      <w:bookmarkEnd w:id="27"/>
    </w:p>
    <w:p>
      <w:pPr>
        <w:pStyle w:val="4"/>
        <w:spacing w:before="70"/>
      </w:pPr>
      <w:bookmarkStart w:id="28" w:name="_Toc499059457"/>
      <w:bookmarkStart w:id="29" w:name="_Toc499060194"/>
      <w:r>
        <w:t>3.2.</w:t>
      </w:r>
      <w:r>
        <w:rPr>
          <w:rFonts w:hint="eastAsia"/>
        </w:rPr>
        <w:t>1</w:t>
      </w:r>
      <w:r>
        <w:t>产品</w:t>
      </w:r>
      <w:r>
        <w:rPr>
          <w:rFonts w:hint="eastAsia"/>
        </w:rPr>
        <w:t>方案</w:t>
      </w:r>
    </w:p>
    <w:p>
      <w:pPr>
        <w:ind w:firstLine="520"/>
      </w:pPr>
      <w:r>
        <w:t>该项目是石膏贴面板、石膏制品和机械加工项目。产品方案见表3.2-</w:t>
      </w:r>
      <w:r>
        <w:rPr>
          <w:rFonts w:hint="eastAsia"/>
        </w:rPr>
        <w:t>1</w:t>
      </w:r>
      <w:r>
        <w:t>。</w:t>
      </w:r>
    </w:p>
    <w:p>
      <w:pPr>
        <w:pStyle w:val="49"/>
        <w:spacing w:beforeLines="0"/>
      </w:pPr>
      <w:r>
        <w:t>表3.2-</w:t>
      </w:r>
      <w:r>
        <w:rPr>
          <w:rFonts w:hint="eastAsia"/>
        </w:rPr>
        <w:t>1</w:t>
      </w:r>
      <w:r>
        <w:t xml:space="preserve">  项目产品方案一览表</w:t>
      </w:r>
    </w:p>
    <w:tbl>
      <w:tblPr>
        <w:tblStyle w:val="47"/>
        <w:tblW w:w="8687" w:type="dxa"/>
        <w:tblInd w:w="0" w:type="dxa"/>
        <w:tblLayout w:type="fixed"/>
        <w:tblCellMar>
          <w:top w:w="0" w:type="dxa"/>
          <w:left w:w="10" w:type="dxa"/>
          <w:bottom w:w="0" w:type="dxa"/>
          <w:right w:w="10" w:type="dxa"/>
        </w:tblCellMar>
      </w:tblPr>
      <w:tblGrid>
        <w:gridCol w:w="752"/>
        <w:gridCol w:w="1555"/>
        <w:gridCol w:w="1271"/>
        <w:gridCol w:w="1110"/>
        <w:gridCol w:w="3999"/>
      </w:tblGrid>
      <w:tr>
        <w:tblPrEx>
          <w:tblLayout w:type="fixed"/>
          <w:tblCellMar>
            <w:top w:w="0" w:type="dxa"/>
            <w:left w:w="10" w:type="dxa"/>
            <w:bottom w:w="0" w:type="dxa"/>
            <w:right w:w="10" w:type="dxa"/>
          </w:tblCellMar>
        </w:tblPrEx>
        <w:trPr>
          <w:trHeight w:val="410" w:hRule="exact"/>
        </w:trPr>
        <w:tc>
          <w:tcPr>
            <w:tcW w:w="752"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序号</w:t>
            </w:r>
          </w:p>
        </w:tc>
        <w:tc>
          <w:tcPr>
            <w:tcW w:w="1555"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产品名称</w:t>
            </w:r>
          </w:p>
        </w:tc>
        <w:tc>
          <w:tcPr>
            <w:tcW w:w="1271"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单位</w:t>
            </w:r>
          </w:p>
        </w:tc>
        <w:tc>
          <w:tcPr>
            <w:tcW w:w="1110"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年产量</w:t>
            </w:r>
          </w:p>
        </w:tc>
        <w:tc>
          <w:tcPr>
            <w:tcW w:w="3999" w:type="dxa"/>
            <w:tcBorders>
              <w:top w:val="single" w:color="auto" w:sz="4" w:space="0"/>
              <w:left w:val="single" w:color="auto" w:sz="4" w:space="0"/>
              <w:righ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备注</w:t>
            </w:r>
          </w:p>
        </w:tc>
      </w:tr>
      <w:tr>
        <w:tblPrEx>
          <w:tblLayout w:type="fixed"/>
          <w:tblCellMar>
            <w:top w:w="0" w:type="dxa"/>
            <w:left w:w="10" w:type="dxa"/>
            <w:bottom w:w="0" w:type="dxa"/>
            <w:right w:w="10" w:type="dxa"/>
          </w:tblCellMar>
        </w:tblPrEx>
        <w:trPr>
          <w:trHeight w:val="405" w:hRule="exact"/>
        </w:trPr>
        <w:tc>
          <w:tcPr>
            <w:tcW w:w="752"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2"/>
                <w:rFonts w:eastAsiaTheme="minorEastAsia"/>
                <w:b w:val="0"/>
                <w:lang w:val="zh-TW"/>
              </w:rPr>
              <w:t>1</w:t>
            </w:r>
          </w:p>
        </w:tc>
        <w:tc>
          <w:tcPr>
            <w:tcW w:w="1555"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石膏贴面板</w:t>
            </w:r>
          </w:p>
        </w:tc>
        <w:tc>
          <w:tcPr>
            <w:tcW w:w="1271"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万</w:t>
            </w:r>
            <w:r>
              <w:rPr>
                <w:rStyle w:val="122"/>
                <w:rFonts w:eastAsiaTheme="minorEastAsia"/>
                <w:b w:val="0"/>
              </w:rPr>
              <w:t>m</w:t>
            </w:r>
            <w:r>
              <w:rPr>
                <w:rStyle w:val="122"/>
                <w:rFonts w:eastAsiaTheme="minorEastAsia"/>
                <w:b w:val="0"/>
                <w:vertAlign w:val="superscript"/>
              </w:rPr>
              <w:t>2</w:t>
            </w:r>
            <w:r>
              <w:rPr>
                <w:rStyle w:val="122"/>
                <w:rFonts w:eastAsiaTheme="minorEastAsia"/>
                <w:b w:val="0"/>
              </w:rPr>
              <w:t>/a</w:t>
            </w:r>
          </w:p>
        </w:tc>
        <w:tc>
          <w:tcPr>
            <w:tcW w:w="1110"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2"/>
                <w:rFonts w:eastAsiaTheme="minorEastAsia"/>
                <w:b w:val="0"/>
                <w:lang w:val="zh-TW"/>
              </w:rPr>
              <w:t>28</w:t>
            </w:r>
          </w:p>
        </w:tc>
        <w:tc>
          <w:tcPr>
            <w:tcW w:w="3999" w:type="dxa"/>
            <w:tcBorders>
              <w:top w:val="single" w:color="auto" w:sz="4" w:space="0"/>
              <w:left w:val="single" w:color="auto" w:sz="4" w:space="0"/>
              <w:righ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包括铝箔贴面和</w:t>
            </w:r>
            <w:r>
              <w:rPr>
                <w:rStyle w:val="122"/>
                <w:rFonts w:eastAsiaTheme="minorEastAsia"/>
                <w:b w:val="0"/>
              </w:rPr>
              <w:t>PVC</w:t>
            </w:r>
            <w:r>
              <w:rPr>
                <w:rStyle w:val="121"/>
                <w:rFonts w:ascii="Times New Roman" w:cs="Times New Roman" w:hAnsiTheme="minorEastAsia" w:eastAsiaTheme="minorEastAsia"/>
              </w:rPr>
              <w:t>膜贴面</w:t>
            </w:r>
          </w:p>
        </w:tc>
      </w:tr>
      <w:tr>
        <w:tblPrEx>
          <w:tblLayout w:type="fixed"/>
          <w:tblCellMar>
            <w:top w:w="0" w:type="dxa"/>
            <w:left w:w="10" w:type="dxa"/>
            <w:bottom w:w="0" w:type="dxa"/>
            <w:right w:w="10" w:type="dxa"/>
          </w:tblCellMar>
        </w:tblPrEx>
        <w:trPr>
          <w:trHeight w:val="394" w:hRule="exact"/>
        </w:trPr>
        <w:tc>
          <w:tcPr>
            <w:tcW w:w="752"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2"/>
                <w:rFonts w:eastAsiaTheme="minorEastAsia"/>
                <w:b w:val="0"/>
                <w:lang w:val="zh-TW"/>
              </w:rPr>
              <w:t>2</w:t>
            </w:r>
          </w:p>
        </w:tc>
        <w:tc>
          <w:tcPr>
            <w:tcW w:w="1555"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石膏线条</w:t>
            </w:r>
          </w:p>
        </w:tc>
        <w:tc>
          <w:tcPr>
            <w:tcW w:w="1271"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万根</w:t>
            </w:r>
            <w:r>
              <w:rPr>
                <w:rStyle w:val="121"/>
                <w:rFonts w:ascii="Times New Roman" w:cs="Times New Roman" w:hAnsiTheme="minorEastAsia" w:eastAsiaTheme="minorEastAsia"/>
                <w:bCs/>
              </w:rPr>
              <w:t>/a</w:t>
            </w:r>
          </w:p>
        </w:tc>
        <w:tc>
          <w:tcPr>
            <w:tcW w:w="1110" w:type="dxa"/>
            <w:tcBorders>
              <w:top w:val="single" w:color="auto" w:sz="4" w:space="0"/>
              <w:left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2"/>
                <w:rFonts w:eastAsiaTheme="minorEastAsia"/>
                <w:b w:val="0"/>
                <w:lang w:val="zh-TW"/>
              </w:rPr>
              <w:t>80</w:t>
            </w:r>
          </w:p>
        </w:tc>
        <w:tc>
          <w:tcPr>
            <w:tcW w:w="3999" w:type="dxa"/>
            <w:tcBorders>
              <w:top w:val="single" w:color="auto" w:sz="4" w:space="0"/>
              <w:left w:val="single" w:color="auto" w:sz="4" w:space="0"/>
              <w:right w:val="single" w:color="auto" w:sz="4" w:space="0"/>
            </w:tcBorders>
            <w:shd w:val="clear" w:color="auto" w:fill="FFFFFF"/>
            <w:vAlign w:val="center"/>
          </w:tcPr>
          <w:p>
            <w:pPr>
              <w:spacing w:line="240" w:lineRule="auto"/>
              <w:jc w:val="center"/>
              <w:rPr>
                <w:sz w:val="10"/>
                <w:szCs w:val="10"/>
              </w:rPr>
            </w:pPr>
            <w:r>
              <w:rPr>
                <w:rFonts w:hint="eastAsia"/>
                <w:sz w:val="10"/>
                <w:szCs w:val="10"/>
              </w:rPr>
              <w:t>——</w:t>
            </w:r>
          </w:p>
        </w:tc>
      </w:tr>
      <w:tr>
        <w:tblPrEx>
          <w:tblLayout w:type="fixed"/>
          <w:tblCellMar>
            <w:top w:w="0" w:type="dxa"/>
            <w:left w:w="10" w:type="dxa"/>
            <w:bottom w:w="0" w:type="dxa"/>
            <w:right w:w="10" w:type="dxa"/>
          </w:tblCellMar>
        </w:tblPrEx>
        <w:trPr>
          <w:trHeight w:val="1123" w:hRule="exact"/>
        </w:trPr>
        <w:tc>
          <w:tcPr>
            <w:tcW w:w="752" w:type="dxa"/>
            <w:tcBorders>
              <w:top w:val="single" w:color="auto" w:sz="4" w:space="0"/>
              <w:left w:val="single" w:color="auto" w:sz="4" w:space="0"/>
              <w:bottom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2"/>
                <w:rFonts w:eastAsiaTheme="minorEastAsia"/>
                <w:b w:val="0"/>
                <w:lang w:val="zh-TW"/>
              </w:rPr>
              <w:t>3</w:t>
            </w:r>
          </w:p>
        </w:tc>
        <w:tc>
          <w:tcPr>
            <w:tcW w:w="1555" w:type="dxa"/>
            <w:tcBorders>
              <w:top w:val="single" w:color="auto" w:sz="4" w:space="0"/>
              <w:left w:val="single" w:color="auto" w:sz="4" w:space="0"/>
              <w:bottom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机械设备</w:t>
            </w:r>
          </w:p>
        </w:tc>
        <w:tc>
          <w:tcPr>
            <w:tcW w:w="1271" w:type="dxa"/>
            <w:tcBorders>
              <w:top w:val="single" w:color="auto" w:sz="4" w:space="0"/>
              <w:left w:val="single" w:color="auto" w:sz="4" w:space="0"/>
              <w:bottom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rPr>
              <w:t>台</w:t>
            </w:r>
            <w:r>
              <w:rPr>
                <w:rStyle w:val="122"/>
                <w:rFonts w:eastAsiaTheme="minorEastAsia"/>
                <w:b w:val="0"/>
              </w:rPr>
              <w:t>/a</w:t>
            </w:r>
          </w:p>
        </w:tc>
        <w:tc>
          <w:tcPr>
            <w:tcW w:w="1110" w:type="dxa"/>
            <w:tcBorders>
              <w:top w:val="single" w:color="auto" w:sz="4" w:space="0"/>
              <w:left w:val="single" w:color="auto" w:sz="4" w:space="0"/>
              <w:bottom w:val="single" w:color="auto" w:sz="4" w:space="0"/>
            </w:tcBorders>
            <w:shd w:val="clear" w:color="auto" w:fill="FFFFFF"/>
            <w:vAlign w:val="center"/>
          </w:tcPr>
          <w:p>
            <w:pPr>
              <w:pStyle w:val="120"/>
              <w:shd w:val="clear" w:color="auto" w:fill="auto"/>
              <w:spacing w:line="240" w:lineRule="auto"/>
              <w:jc w:val="center"/>
              <w:rPr>
                <w:rFonts w:ascii="Times New Roman" w:hAnsi="Times New Roman" w:cs="Times New Roman" w:eastAsiaTheme="minorEastAsia"/>
              </w:rPr>
            </w:pPr>
            <w:r>
              <w:rPr>
                <w:rStyle w:val="122"/>
                <w:rFonts w:eastAsiaTheme="minorEastAsia"/>
                <w:b w:val="0"/>
                <w:lang w:val="zh-TW"/>
              </w:rPr>
              <w:t>30</w:t>
            </w:r>
          </w:p>
        </w:tc>
        <w:tc>
          <w:tcPr>
            <w:tcW w:w="399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20"/>
              <w:shd w:val="clear" w:color="auto" w:fill="auto"/>
              <w:spacing w:line="240" w:lineRule="exact"/>
              <w:jc w:val="left"/>
              <w:rPr>
                <w:rFonts w:ascii="Times New Roman" w:hAnsi="Times New Roman" w:cs="Times New Roman" w:eastAsiaTheme="minorEastAsia"/>
              </w:rPr>
            </w:pPr>
            <w:r>
              <w:rPr>
                <w:rStyle w:val="121"/>
                <w:rFonts w:ascii="Times New Roman" w:cs="Times New Roman" w:hAnsiTheme="minorEastAsia" w:eastAsiaTheme="minorEastAsia"/>
              </w:rPr>
              <w:t>主要为</w:t>
            </w:r>
            <w:r>
              <w:rPr>
                <w:rStyle w:val="122"/>
                <w:rFonts w:hint="eastAsia" w:eastAsiaTheme="minorEastAsia"/>
                <w:b w:val="0"/>
              </w:rPr>
              <w:t>PVC</w:t>
            </w:r>
            <w:r>
              <w:rPr>
                <w:rStyle w:val="121"/>
                <w:rFonts w:ascii="Times New Roman" w:cs="Times New Roman" w:hAnsiTheme="minorEastAsia" w:eastAsiaTheme="minorEastAsia"/>
              </w:rPr>
              <w:t>石膏贴面板机械、双面覆膜机、自动切割锯、</w:t>
            </w:r>
            <w:r>
              <w:rPr>
                <w:rStyle w:val="122"/>
                <w:rFonts w:hint="eastAsia" w:eastAsiaTheme="minorEastAsia"/>
                <w:b w:val="0"/>
              </w:rPr>
              <w:t>PVC</w:t>
            </w:r>
            <w:r>
              <w:rPr>
                <w:rStyle w:val="121"/>
                <w:rFonts w:ascii="Times New Roman" w:cs="Times New Roman" w:hAnsiTheme="minorEastAsia" w:eastAsiaTheme="minorEastAsia"/>
              </w:rPr>
              <w:t>石膏贴面板包边机、自动打包设备、码垛机、石膏线条设备、石膏板冲空机和各类型包装机等。</w:t>
            </w:r>
          </w:p>
        </w:tc>
      </w:tr>
    </w:tbl>
    <w:p>
      <w:pPr>
        <w:pStyle w:val="4"/>
        <w:spacing w:before="70"/>
      </w:pPr>
      <w:r>
        <w:t>3.2.</w:t>
      </w:r>
      <w:r>
        <w:rPr>
          <w:rFonts w:hint="eastAsia"/>
        </w:rPr>
        <w:t>2工程</w:t>
      </w:r>
      <w:r>
        <w:t>组成</w:t>
      </w:r>
      <w:bookmarkEnd w:id="28"/>
      <w:bookmarkEnd w:id="29"/>
      <w:r>
        <w:rPr>
          <w:rFonts w:hint="eastAsia"/>
        </w:rPr>
        <w:t>及建设内容</w:t>
      </w:r>
    </w:p>
    <w:p>
      <w:pPr>
        <w:ind w:firstLine="520"/>
      </w:pPr>
      <w:r>
        <w:rPr>
          <w:rFonts w:hint="eastAsia"/>
        </w:rPr>
        <w:t>该</w:t>
      </w:r>
      <w:r>
        <w:t>项目组成情况见表3.2-</w:t>
      </w:r>
      <w:r>
        <w:rPr>
          <w:rFonts w:hint="eastAsia"/>
        </w:rPr>
        <w:t>2，</w:t>
      </w:r>
      <w:r>
        <w:t>生产设备具体情况见表3.2-</w:t>
      </w:r>
      <w:r>
        <w:rPr>
          <w:rFonts w:hint="eastAsia"/>
        </w:rPr>
        <w:t>3</w:t>
      </w:r>
      <w:r>
        <w:t>。</w:t>
      </w:r>
    </w:p>
    <w:p>
      <w:pPr>
        <w:pStyle w:val="49"/>
        <w:spacing w:beforeLines="0"/>
      </w:pPr>
      <w:r>
        <w:t>表3.2-</w:t>
      </w:r>
      <w:r>
        <w:rPr>
          <w:rFonts w:hint="eastAsia"/>
        </w:rPr>
        <w:t>2</w:t>
      </w:r>
      <w:r>
        <w:t>项目</w:t>
      </w:r>
      <w:r>
        <w:rPr>
          <w:rFonts w:hint="eastAsia"/>
        </w:rPr>
        <w:t>建设</w:t>
      </w:r>
      <w:r>
        <w:t>情况一览表</w:t>
      </w:r>
      <w:bookmarkStart w:id="30" w:name="_Toc499059458"/>
      <w:bookmarkStart w:id="31" w:name="_Toc499060195"/>
    </w:p>
    <w:tbl>
      <w:tblPr>
        <w:tblStyle w:val="48"/>
        <w:tblW w:w="904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496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18" w:type="dxa"/>
            <w:vAlign w:val="center"/>
          </w:tcPr>
          <w:p>
            <w:pPr>
              <w:spacing w:line="240" w:lineRule="auto"/>
              <w:jc w:val="center"/>
              <w:rPr>
                <w:rFonts w:ascii="宋体" w:hAnsi="宋体"/>
                <w:bCs/>
                <w:sz w:val="22"/>
              </w:rPr>
            </w:pPr>
            <w:r>
              <w:rPr>
                <w:rFonts w:hint="eastAsia" w:ascii="宋体" w:hAnsi="宋体"/>
                <w:bCs/>
                <w:sz w:val="22"/>
              </w:rPr>
              <w:t>工程组成</w:t>
            </w:r>
          </w:p>
        </w:tc>
        <w:tc>
          <w:tcPr>
            <w:tcW w:w="1105" w:type="dxa"/>
            <w:vAlign w:val="center"/>
          </w:tcPr>
          <w:p>
            <w:pPr>
              <w:spacing w:line="240" w:lineRule="auto"/>
              <w:jc w:val="center"/>
              <w:rPr>
                <w:rFonts w:ascii="宋体" w:hAnsi="宋体"/>
                <w:bCs/>
                <w:sz w:val="22"/>
              </w:rPr>
            </w:pPr>
            <w:r>
              <w:rPr>
                <w:rFonts w:hint="eastAsia" w:ascii="宋体" w:hAnsi="宋体"/>
                <w:bCs/>
                <w:sz w:val="22"/>
              </w:rPr>
              <w:t>建设</w:t>
            </w:r>
            <w:r>
              <w:rPr>
                <w:rFonts w:ascii="宋体" w:hAnsi="宋体"/>
                <w:bCs/>
                <w:sz w:val="22"/>
              </w:rPr>
              <w:t>名称</w:t>
            </w:r>
          </w:p>
        </w:tc>
        <w:tc>
          <w:tcPr>
            <w:tcW w:w="4961" w:type="dxa"/>
            <w:vAlign w:val="center"/>
          </w:tcPr>
          <w:p>
            <w:pPr>
              <w:spacing w:line="240" w:lineRule="auto"/>
              <w:jc w:val="center"/>
              <w:rPr>
                <w:rFonts w:ascii="宋体" w:hAnsi="宋体"/>
                <w:bCs/>
                <w:sz w:val="22"/>
              </w:rPr>
            </w:pPr>
            <w:r>
              <w:rPr>
                <w:rFonts w:hint="eastAsia" w:ascii="宋体" w:hAnsi="宋体"/>
                <w:bCs/>
                <w:sz w:val="22"/>
              </w:rPr>
              <w:t>实际建设</w:t>
            </w:r>
            <w:r>
              <w:rPr>
                <w:rFonts w:ascii="宋体" w:hAnsi="宋体"/>
                <w:bCs/>
                <w:sz w:val="22"/>
              </w:rPr>
              <w:t>内容</w:t>
            </w:r>
          </w:p>
        </w:tc>
        <w:tc>
          <w:tcPr>
            <w:tcW w:w="1559" w:type="dxa"/>
            <w:vAlign w:val="center"/>
          </w:tcPr>
          <w:p>
            <w:pPr>
              <w:spacing w:line="240" w:lineRule="auto"/>
              <w:jc w:val="center"/>
              <w:rPr>
                <w:rFonts w:ascii="宋体" w:hAnsi="宋体"/>
                <w:bCs/>
                <w:sz w:val="22"/>
              </w:rPr>
            </w:pPr>
            <w:r>
              <w:rPr>
                <w:rFonts w:hint="eastAsia" w:ascii="宋体" w:hAnsi="宋体"/>
                <w:bCs/>
                <w:sz w:val="22"/>
              </w:rPr>
              <w:t>是否与环评</w:t>
            </w:r>
          </w:p>
          <w:p>
            <w:pPr>
              <w:spacing w:line="240" w:lineRule="auto"/>
              <w:jc w:val="center"/>
              <w:rPr>
                <w:rFonts w:ascii="宋体" w:hAnsi="宋体"/>
                <w:bCs/>
                <w:sz w:val="22"/>
              </w:rPr>
            </w:pPr>
            <w:r>
              <w:rPr>
                <w:rFonts w:hint="eastAsia" w:ascii="宋体" w:hAnsi="宋体"/>
                <w:bCs/>
                <w:sz w:val="22"/>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418" w:type="dxa"/>
            <w:vMerge w:val="restart"/>
            <w:vAlign w:val="center"/>
          </w:tcPr>
          <w:p>
            <w:pPr>
              <w:spacing w:line="240" w:lineRule="auto"/>
              <w:jc w:val="center"/>
              <w:rPr>
                <w:sz w:val="22"/>
              </w:rPr>
            </w:pPr>
            <w:r>
              <w:rPr>
                <w:sz w:val="22"/>
              </w:rPr>
              <w:t>主体工程</w:t>
            </w:r>
          </w:p>
        </w:tc>
        <w:tc>
          <w:tcPr>
            <w:tcW w:w="1105" w:type="dxa"/>
            <w:vAlign w:val="center"/>
          </w:tcPr>
          <w:p>
            <w:pPr>
              <w:spacing w:line="240" w:lineRule="auto"/>
              <w:jc w:val="center"/>
              <w:rPr>
                <w:sz w:val="22"/>
              </w:rPr>
            </w:pPr>
            <w:r>
              <w:rPr>
                <w:rFonts w:hint="eastAsia"/>
                <w:sz w:val="22"/>
              </w:rPr>
              <w:t>石膏线条生产厂房</w:t>
            </w:r>
          </w:p>
        </w:tc>
        <w:tc>
          <w:tcPr>
            <w:tcW w:w="4961" w:type="dxa"/>
            <w:vAlign w:val="center"/>
          </w:tcPr>
          <w:p>
            <w:pPr>
              <w:spacing w:line="240" w:lineRule="auto"/>
              <w:rPr>
                <w:sz w:val="22"/>
              </w:rPr>
            </w:pPr>
            <w:r>
              <w:rPr>
                <w:rFonts w:hint="eastAsia"/>
                <w:sz w:val="22"/>
              </w:rPr>
              <w:t>1座，1层，建筑面积600m</w:t>
            </w:r>
            <w:r>
              <w:rPr>
                <w:rFonts w:hint="eastAsia"/>
                <w:sz w:val="22"/>
                <w:vertAlign w:val="superscript"/>
              </w:rPr>
              <w:t>2</w:t>
            </w:r>
            <w:r>
              <w:rPr>
                <w:rFonts w:hint="eastAsia"/>
                <w:sz w:val="22"/>
              </w:rPr>
              <w:t>，钢结构，主要设置石膏线条生产线1条。</w:t>
            </w:r>
          </w:p>
        </w:tc>
        <w:tc>
          <w:tcPr>
            <w:tcW w:w="1559" w:type="dxa"/>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6" w:hRule="atLeast"/>
        </w:trPr>
        <w:tc>
          <w:tcPr>
            <w:tcW w:w="1418" w:type="dxa"/>
            <w:vMerge w:val="continue"/>
            <w:vAlign w:val="center"/>
          </w:tcPr>
          <w:p>
            <w:pPr>
              <w:spacing w:line="240" w:lineRule="auto"/>
              <w:jc w:val="center"/>
              <w:rPr>
                <w:sz w:val="22"/>
              </w:rPr>
            </w:pPr>
          </w:p>
        </w:tc>
        <w:tc>
          <w:tcPr>
            <w:tcW w:w="1105" w:type="dxa"/>
            <w:vAlign w:val="center"/>
          </w:tcPr>
          <w:p>
            <w:pPr>
              <w:spacing w:line="240" w:lineRule="auto"/>
              <w:jc w:val="center"/>
              <w:rPr>
                <w:sz w:val="22"/>
              </w:rPr>
            </w:pPr>
            <w:r>
              <w:rPr>
                <w:rFonts w:hint="eastAsia"/>
                <w:sz w:val="22"/>
              </w:rPr>
              <w:t>石膏线条晾晒棚</w:t>
            </w:r>
          </w:p>
        </w:tc>
        <w:tc>
          <w:tcPr>
            <w:tcW w:w="4961" w:type="dxa"/>
            <w:vAlign w:val="center"/>
          </w:tcPr>
          <w:p>
            <w:pPr>
              <w:spacing w:line="240" w:lineRule="auto"/>
              <w:rPr>
                <w:sz w:val="22"/>
              </w:rPr>
            </w:pPr>
            <w:r>
              <w:rPr>
                <w:rFonts w:hint="eastAsia"/>
                <w:sz w:val="22"/>
              </w:rPr>
              <w:t>1座，1层，建筑面积280m</w:t>
            </w:r>
            <w:r>
              <w:rPr>
                <w:rFonts w:hint="eastAsia"/>
                <w:sz w:val="22"/>
                <w:vertAlign w:val="superscript"/>
              </w:rPr>
              <w:t>2</w:t>
            </w:r>
            <w:r>
              <w:rPr>
                <w:rFonts w:hint="eastAsia"/>
                <w:sz w:val="22"/>
              </w:rPr>
              <w:t>，防雨棚结构，用于石膏线条悬挂晾晒。</w:t>
            </w:r>
          </w:p>
        </w:tc>
        <w:tc>
          <w:tcPr>
            <w:tcW w:w="1559" w:type="dxa"/>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1418" w:type="dxa"/>
            <w:vMerge w:val="continue"/>
            <w:vAlign w:val="center"/>
          </w:tcPr>
          <w:p>
            <w:pPr>
              <w:spacing w:line="240" w:lineRule="auto"/>
              <w:jc w:val="center"/>
              <w:rPr>
                <w:sz w:val="22"/>
              </w:rPr>
            </w:pPr>
          </w:p>
        </w:tc>
        <w:tc>
          <w:tcPr>
            <w:tcW w:w="1105" w:type="dxa"/>
            <w:vAlign w:val="center"/>
          </w:tcPr>
          <w:p>
            <w:pPr>
              <w:spacing w:line="240" w:lineRule="auto"/>
              <w:jc w:val="center"/>
              <w:rPr>
                <w:sz w:val="22"/>
              </w:rPr>
            </w:pPr>
            <w:r>
              <w:rPr>
                <w:rFonts w:hint="eastAsia"/>
                <w:sz w:val="22"/>
              </w:rPr>
              <w:t>综合厂房</w:t>
            </w:r>
          </w:p>
        </w:tc>
        <w:tc>
          <w:tcPr>
            <w:tcW w:w="4961" w:type="dxa"/>
            <w:vAlign w:val="center"/>
          </w:tcPr>
          <w:p>
            <w:pPr>
              <w:spacing w:line="240" w:lineRule="auto"/>
              <w:rPr>
                <w:sz w:val="22"/>
              </w:rPr>
            </w:pPr>
            <w:r>
              <w:rPr>
                <w:rFonts w:hint="eastAsia"/>
                <w:sz w:val="22"/>
              </w:rPr>
              <w:t>1座，1层，占地面积11280m</w:t>
            </w:r>
            <w:r>
              <w:rPr>
                <w:rFonts w:hint="eastAsia"/>
                <w:sz w:val="22"/>
                <w:vertAlign w:val="superscript"/>
              </w:rPr>
              <w:t>2</w:t>
            </w:r>
            <w:r>
              <w:rPr>
                <w:rFonts w:hint="eastAsia"/>
                <w:sz w:val="22"/>
              </w:rPr>
              <w:t>，钢结构，内设石膏贴面板生产线1条和机械设备加工生产线1条，厂房内分为加工区域和原料产品存放区域。</w:t>
            </w:r>
          </w:p>
        </w:tc>
        <w:tc>
          <w:tcPr>
            <w:tcW w:w="1559" w:type="dxa"/>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418" w:type="dxa"/>
            <w:vMerge w:val="restart"/>
            <w:vAlign w:val="center"/>
          </w:tcPr>
          <w:p>
            <w:pPr>
              <w:spacing w:line="240" w:lineRule="auto"/>
              <w:jc w:val="center"/>
              <w:rPr>
                <w:sz w:val="22"/>
              </w:rPr>
            </w:pPr>
            <w:r>
              <w:rPr>
                <w:rFonts w:hint="eastAsia"/>
                <w:sz w:val="22"/>
              </w:rPr>
              <w:t>配套工程</w:t>
            </w:r>
          </w:p>
        </w:tc>
        <w:tc>
          <w:tcPr>
            <w:tcW w:w="1105" w:type="dxa"/>
            <w:vAlign w:val="center"/>
          </w:tcPr>
          <w:p>
            <w:pPr>
              <w:spacing w:line="240" w:lineRule="auto"/>
              <w:jc w:val="center"/>
              <w:rPr>
                <w:sz w:val="22"/>
              </w:rPr>
            </w:pPr>
            <w:r>
              <w:rPr>
                <w:rFonts w:hint="eastAsia"/>
                <w:sz w:val="22"/>
              </w:rPr>
              <w:t>原料库</w:t>
            </w:r>
          </w:p>
        </w:tc>
        <w:tc>
          <w:tcPr>
            <w:tcW w:w="4961" w:type="dxa"/>
            <w:vAlign w:val="center"/>
          </w:tcPr>
          <w:p>
            <w:pPr>
              <w:spacing w:line="240" w:lineRule="auto"/>
              <w:rPr>
                <w:sz w:val="22"/>
              </w:rPr>
            </w:pPr>
            <w:r>
              <w:rPr>
                <w:rFonts w:hint="eastAsia"/>
                <w:sz w:val="22"/>
              </w:rPr>
              <w:t>1座，用于原料存放。</w:t>
            </w:r>
          </w:p>
        </w:tc>
        <w:tc>
          <w:tcPr>
            <w:tcW w:w="1559" w:type="dxa"/>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418" w:type="dxa"/>
            <w:vMerge w:val="continue"/>
            <w:vAlign w:val="center"/>
          </w:tcPr>
          <w:p>
            <w:pPr>
              <w:spacing w:line="240" w:lineRule="auto"/>
              <w:jc w:val="center"/>
              <w:rPr>
                <w:sz w:val="22"/>
              </w:rPr>
            </w:pPr>
          </w:p>
        </w:tc>
        <w:tc>
          <w:tcPr>
            <w:tcW w:w="1105" w:type="dxa"/>
            <w:vAlign w:val="center"/>
          </w:tcPr>
          <w:p>
            <w:pPr>
              <w:spacing w:line="240" w:lineRule="auto"/>
              <w:jc w:val="center"/>
              <w:rPr>
                <w:sz w:val="22"/>
              </w:rPr>
            </w:pPr>
            <w:r>
              <w:rPr>
                <w:rFonts w:hint="eastAsia"/>
                <w:sz w:val="22"/>
              </w:rPr>
              <w:t>办公室</w:t>
            </w:r>
          </w:p>
        </w:tc>
        <w:tc>
          <w:tcPr>
            <w:tcW w:w="4961" w:type="dxa"/>
            <w:vAlign w:val="center"/>
          </w:tcPr>
          <w:p>
            <w:pPr>
              <w:spacing w:line="240" w:lineRule="auto"/>
              <w:rPr>
                <w:sz w:val="22"/>
              </w:rPr>
            </w:pPr>
            <w:r>
              <w:rPr>
                <w:rFonts w:hint="eastAsia"/>
                <w:sz w:val="22"/>
              </w:rPr>
              <w:t>1座，2层，主要用于办公，1楼有一间为机械配件库。</w:t>
            </w:r>
          </w:p>
        </w:tc>
        <w:tc>
          <w:tcPr>
            <w:tcW w:w="1559" w:type="dxa"/>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418" w:type="dxa"/>
            <w:vMerge w:val="restart"/>
            <w:vAlign w:val="center"/>
          </w:tcPr>
          <w:p>
            <w:pPr>
              <w:spacing w:line="240" w:lineRule="auto"/>
              <w:jc w:val="center"/>
              <w:rPr>
                <w:sz w:val="22"/>
              </w:rPr>
            </w:pPr>
            <w:r>
              <w:rPr>
                <w:rFonts w:hint="eastAsia"/>
                <w:sz w:val="22"/>
              </w:rPr>
              <w:t>公用工程</w:t>
            </w:r>
          </w:p>
        </w:tc>
        <w:tc>
          <w:tcPr>
            <w:tcW w:w="1105" w:type="dxa"/>
            <w:vAlign w:val="center"/>
          </w:tcPr>
          <w:p>
            <w:pPr>
              <w:spacing w:line="240" w:lineRule="auto"/>
              <w:jc w:val="center"/>
              <w:rPr>
                <w:sz w:val="22"/>
              </w:rPr>
            </w:pPr>
            <w:r>
              <w:rPr>
                <w:sz w:val="22"/>
              </w:rPr>
              <w:t>供水</w:t>
            </w:r>
          </w:p>
        </w:tc>
        <w:tc>
          <w:tcPr>
            <w:tcW w:w="4961" w:type="dxa"/>
            <w:vAlign w:val="center"/>
          </w:tcPr>
          <w:p>
            <w:pPr>
              <w:spacing w:line="240" w:lineRule="auto"/>
              <w:rPr>
                <w:sz w:val="22"/>
              </w:rPr>
            </w:pPr>
            <w:r>
              <w:rPr>
                <w:rFonts w:hint="eastAsia"/>
                <w:sz w:val="22"/>
              </w:rPr>
              <w:t>项目用水由自备水井</w:t>
            </w:r>
            <w:r>
              <w:rPr>
                <w:rFonts w:eastAsia="宋体"/>
                <w:sz w:val="22"/>
                <w:lang w:val="zh-TW"/>
              </w:rPr>
              <w:t>提供</w:t>
            </w:r>
            <w:r>
              <w:rPr>
                <w:rFonts w:hint="eastAsia"/>
                <w:sz w:val="22"/>
              </w:rPr>
              <w:t>，井深80m。</w:t>
            </w:r>
          </w:p>
        </w:tc>
        <w:tc>
          <w:tcPr>
            <w:tcW w:w="1559" w:type="dxa"/>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418" w:type="dxa"/>
            <w:vMerge w:val="continue"/>
            <w:vAlign w:val="center"/>
          </w:tcPr>
          <w:p>
            <w:pPr>
              <w:spacing w:line="240" w:lineRule="auto"/>
              <w:jc w:val="center"/>
              <w:rPr>
                <w:sz w:val="22"/>
              </w:rPr>
            </w:pPr>
          </w:p>
        </w:tc>
        <w:tc>
          <w:tcPr>
            <w:tcW w:w="1105" w:type="dxa"/>
            <w:vAlign w:val="center"/>
          </w:tcPr>
          <w:p>
            <w:pPr>
              <w:spacing w:line="240" w:lineRule="auto"/>
              <w:jc w:val="center"/>
              <w:rPr>
                <w:sz w:val="22"/>
              </w:rPr>
            </w:pPr>
            <w:r>
              <w:rPr>
                <w:rFonts w:hint="eastAsia"/>
                <w:sz w:val="22"/>
              </w:rPr>
              <w:t>供热</w:t>
            </w:r>
          </w:p>
        </w:tc>
        <w:tc>
          <w:tcPr>
            <w:tcW w:w="4961" w:type="dxa"/>
            <w:vAlign w:val="center"/>
          </w:tcPr>
          <w:p>
            <w:pPr>
              <w:spacing w:line="240" w:lineRule="auto"/>
              <w:rPr>
                <w:sz w:val="22"/>
              </w:rPr>
            </w:pPr>
            <w:r>
              <w:rPr>
                <w:rFonts w:hint="eastAsia"/>
                <w:sz w:val="22"/>
              </w:rPr>
              <w:t>由室内空调供暖。</w:t>
            </w:r>
          </w:p>
        </w:tc>
        <w:tc>
          <w:tcPr>
            <w:tcW w:w="1559" w:type="dxa"/>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418" w:type="dxa"/>
            <w:vMerge w:val="continue"/>
            <w:tcBorders>
              <w:bottom w:val="single" w:color="auto" w:sz="6" w:space="0"/>
            </w:tcBorders>
            <w:vAlign w:val="center"/>
          </w:tcPr>
          <w:p>
            <w:pPr>
              <w:spacing w:line="240" w:lineRule="auto"/>
              <w:jc w:val="center"/>
              <w:rPr>
                <w:sz w:val="22"/>
              </w:rPr>
            </w:pPr>
          </w:p>
        </w:tc>
        <w:tc>
          <w:tcPr>
            <w:tcW w:w="1105" w:type="dxa"/>
            <w:vAlign w:val="center"/>
          </w:tcPr>
          <w:p>
            <w:pPr>
              <w:spacing w:line="240" w:lineRule="auto"/>
              <w:jc w:val="center"/>
              <w:rPr>
                <w:sz w:val="22"/>
              </w:rPr>
            </w:pPr>
            <w:r>
              <w:rPr>
                <w:sz w:val="22"/>
              </w:rPr>
              <w:t>供电</w:t>
            </w:r>
          </w:p>
        </w:tc>
        <w:tc>
          <w:tcPr>
            <w:tcW w:w="4961" w:type="dxa"/>
            <w:vAlign w:val="center"/>
          </w:tcPr>
          <w:p>
            <w:pPr>
              <w:spacing w:line="240" w:lineRule="auto"/>
              <w:rPr>
                <w:sz w:val="22"/>
              </w:rPr>
            </w:pPr>
            <w:r>
              <w:rPr>
                <w:rFonts w:hint="eastAsia"/>
                <w:sz w:val="22"/>
              </w:rPr>
              <w:t>由罗西街道供电所供给。</w:t>
            </w:r>
          </w:p>
        </w:tc>
        <w:tc>
          <w:tcPr>
            <w:tcW w:w="1559" w:type="dxa"/>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418" w:type="dxa"/>
            <w:vMerge w:val="restart"/>
            <w:tcBorders>
              <w:top w:val="single" w:color="auto" w:sz="6" w:space="0"/>
            </w:tcBorders>
            <w:vAlign w:val="center"/>
          </w:tcPr>
          <w:p>
            <w:pPr>
              <w:spacing w:line="240" w:lineRule="auto"/>
              <w:jc w:val="center"/>
              <w:rPr>
                <w:sz w:val="22"/>
              </w:rPr>
            </w:pPr>
            <w:r>
              <w:rPr>
                <w:sz w:val="22"/>
              </w:rPr>
              <w:t>环保工程</w:t>
            </w:r>
          </w:p>
        </w:tc>
        <w:tc>
          <w:tcPr>
            <w:tcW w:w="1105" w:type="dxa"/>
            <w:vMerge w:val="restart"/>
            <w:vAlign w:val="center"/>
          </w:tcPr>
          <w:p>
            <w:pPr>
              <w:spacing w:line="240" w:lineRule="auto"/>
              <w:jc w:val="center"/>
              <w:rPr>
                <w:sz w:val="22"/>
                <w:highlight w:val="yellow"/>
              </w:rPr>
            </w:pPr>
            <w:r>
              <w:rPr>
                <w:sz w:val="22"/>
              </w:rPr>
              <w:t>废气处理</w:t>
            </w:r>
          </w:p>
        </w:tc>
        <w:tc>
          <w:tcPr>
            <w:tcW w:w="4961" w:type="dxa"/>
            <w:vAlign w:val="center"/>
          </w:tcPr>
          <w:p>
            <w:pPr>
              <w:spacing w:line="240" w:lineRule="auto"/>
              <w:rPr>
                <w:sz w:val="22"/>
              </w:rPr>
            </w:pPr>
            <w:r>
              <w:rPr>
                <w:rFonts w:hint="eastAsia"/>
                <w:sz w:val="22"/>
              </w:rPr>
              <w:t>贴面工序产生的非甲烷总烃废气经集气罩收集，进光氧催化设备处理好，由一根15m高排气筒排放。</w:t>
            </w:r>
            <w:r>
              <w:rPr>
                <w:sz w:val="22"/>
              </w:rPr>
              <w:t xml:space="preserve"> </w:t>
            </w:r>
          </w:p>
        </w:tc>
        <w:tc>
          <w:tcPr>
            <w:tcW w:w="1559" w:type="dxa"/>
            <w:vMerge w:val="restart"/>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418" w:type="dxa"/>
            <w:vMerge w:val="continue"/>
            <w:vAlign w:val="center"/>
          </w:tcPr>
          <w:p>
            <w:pPr>
              <w:spacing w:line="240" w:lineRule="auto"/>
              <w:jc w:val="center"/>
              <w:rPr>
                <w:sz w:val="22"/>
              </w:rPr>
            </w:pPr>
          </w:p>
        </w:tc>
        <w:tc>
          <w:tcPr>
            <w:tcW w:w="1105" w:type="dxa"/>
            <w:vMerge w:val="continue"/>
            <w:vAlign w:val="center"/>
          </w:tcPr>
          <w:p>
            <w:pPr>
              <w:spacing w:line="240" w:lineRule="auto"/>
              <w:jc w:val="center"/>
              <w:rPr>
                <w:sz w:val="22"/>
              </w:rPr>
            </w:pPr>
          </w:p>
        </w:tc>
        <w:tc>
          <w:tcPr>
            <w:tcW w:w="4961" w:type="dxa"/>
            <w:vAlign w:val="center"/>
          </w:tcPr>
          <w:p>
            <w:pPr>
              <w:spacing w:line="240" w:lineRule="auto"/>
              <w:rPr>
                <w:sz w:val="22"/>
              </w:rPr>
            </w:pPr>
            <w:r>
              <w:rPr>
                <w:rFonts w:hint="eastAsia"/>
                <w:sz w:val="22"/>
              </w:rPr>
              <w:t>切割工序产生的粉尘经脉冲布袋除尘器处理后经15m高排气筒排放。</w:t>
            </w:r>
          </w:p>
        </w:tc>
        <w:tc>
          <w:tcPr>
            <w:tcW w:w="1559" w:type="dxa"/>
            <w:vMerge w:val="continue"/>
            <w:vAlign w:val="center"/>
          </w:tcPr>
          <w:p>
            <w:pPr>
              <w:spacing w:line="240" w:lineRule="auto"/>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418" w:type="dxa"/>
            <w:vMerge w:val="continue"/>
            <w:vAlign w:val="center"/>
          </w:tcPr>
          <w:p>
            <w:pPr>
              <w:spacing w:line="240" w:lineRule="auto"/>
              <w:jc w:val="center"/>
              <w:rPr>
                <w:sz w:val="22"/>
              </w:rPr>
            </w:pPr>
          </w:p>
        </w:tc>
        <w:tc>
          <w:tcPr>
            <w:tcW w:w="1105" w:type="dxa"/>
            <w:vMerge w:val="continue"/>
            <w:vAlign w:val="center"/>
          </w:tcPr>
          <w:p>
            <w:pPr>
              <w:spacing w:line="240" w:lineRule="auto"/>
              <w:jc w:val="center"/>
              <w:rPr>
                <w:sz w:val="22"/>
              </w:rPr>
            </w:pPr>
          </w:p>
        </w:tc>
        <w:tc>
          <w:tcPr>
            <w:tcW w:w="4961" w:type="dxa"/>
            <w:vAlign w:val="center"/>
          </w:tcPr>
          <w:p>
            <w:pPr>
              <w:spacing w:line="240" w:lineRule="auto"/>
              <w:rPr>
                <w:sz w:val="22"/>
              </w:rPr>
            </w:pPr>
            <w:r>
              <w:rPr>
                <w:rFonts w:hint="eastAsia"/>
                <w:sz w:val="22"/>
              </w:rPr>
              <w:t>石膏粉筒仓进料和搅拌粉尘无组织排放；</w:t>
            </w:r>
          </w:p>
        </w:tc>
        <w:tc>
          <w:tcPr>
            <w:tcW w:w="1559" w:type="dxa"/>
            <w:vMerge w:val="continue"/>
            <w:vAlign w:val="center"/>
          </w:tcPr>
          <w:p>
            <w:pPr>
              <w:spacing w:line="240" w:lineRule="auto"/>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418" w:type="dxa"/>
            <w:vMerge w:val="continue"/>
            <w:vAlign w:val="center"/>
          </w:tcPr>
          <w:p>
            <w:pPr>
              <w:spacing w:line="240" w:lineRule="auto"/>
              <w:jc w:val="center"/>
              <w:rPr>
                <w:sz w:val="22"/>
              </w:rPr>
            </w:pPr>
          </w:p>
        </w:tc>
        <w:tc>
          <w:tcPr>
            <w:tcW w:w="1105" w:type="dxa"/>
            <w:vMerge w:val="continue"/>
            <w:vAlign w:val="center"/>
          </w:tcPr>
          <w:p>
            <w:pPr>
              <w:spacing w:line="240" w:lineRule="auto"/>
              <w:jc w:val="center"/>
              <w:rPr>
                <w:sz w:val="22"/>
              </w:rPr>
            </w:pPr>
          </w:p>
        </w:tc>
        <w:tc>
          <w:tcPr>
            <w:tcW w:w="4961" w:type="dxa"/>
            <w:vAlign w:val="center"/>
          </w:tcPr>
          <w:p>
            <w:pPr>
              <w:spacing w:line="240" w:lineRule="auto"/>
              <w:rPr>
                <w:sz w:val="22"/>
              </w:rPr>
            </w:pPr>
            <w:r>
              <w:rPr>
                <w:rFonts w:hint="eastAsia"/>
                <w:sz w:val="22"/>
              </w:rPr>
              <w:t>焊接烟尘经移动式焊接烟尘除尘器处理后无组织排放。</w:t>
            </w:r>
          </w:p>
        </w:tc>
        <w:tc>
          <w:tcPr>
            <w:tcW w:w="1559" w:type="dxa"/>
            <w:vAlign w:val="center"/>
          </w:tcPr>
          <w:p>
            <w:pPr>
              <w:spacing w:line="240" w:lineRule="auto"/>
              <w:jc w:val="center"/>
              <w:rPr>
                <w:sz w:val="22"/>
              </w:rPr>
            </w:pPr>
            <w:r>
              <w:rPr>
                <w:rFonts w:hint="eastAsia"/>
                <w:sz w:val="22"/>
              </w:rPr>
              <w:t>否，增加了3台移动式焊接烟尘除尘器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418" w:type="dxa"/>
            <w:vMerge w:val="continue"/>
            <w:vAlign w:val="center"/>
          </w:tcPr>
          <w:p>
            <w:pPr>
              <w:spacing w:line="240" w:lineRule="auto"/>
              <w:jc w:val="center"/>
              <w:rPr>
                <w:sz w:val="22"/>
              </w:rPr>
            </w:pPr>
          </w:p>
        </w:tc>
        <w:tc>
          <w:tcPr>
            <w:tcW w:w="1105" w:type="dxa"/>
            <w:vAlign w:val="center"/>
          </w:tcPr>
          <w:p>
            <w:pPr>
              <w:spacing w:line="240" w:lineRule="auto"/>
              <w:jc w:val="center"/>
              <w:rPr>
                <w:sz w:val="22"/>
              </w:rPr>
            </w:pPr>
            <w:r>
              <w:rPr>
                <w:sz w:val="22"/>
              </w:rPr>
              <w:t>废水处理</w:t>
            </w:r>
          </w:p>
        </w:tc>
        <w:tc>
          <w:tcPr>
            <w:tcW w:w="4961" w:type="dxa"/>
            <w:vAlign w:val="center"/>
          </w:tcPr>
          <w:p>
            <w:pPr>
              <w:spacing w:line="240" w:lineRule="auto"/>
              <w:rPr>
                <w:sz w:val="22"/>
              </w:rPr>
            </w:pPr>
            <w:r>
              <w:rPr>
                <w:rFonts w:hint="eastAsia"/>
                <w:sz w:val="22"/>
              </w:rPr>
              <w:t>采用雨、污分流系统，生活污水经化粪池处理后外运堆肥。</w:t>
            </w:r>
          </w:p>
        </w:tc>
        <w:tc>
          <w:tcPr>
            <w:tcW w:w="1559" w:type="dxa"/>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trPr>
        <w:tc>
          <w:tcPr>
            <w:tcW w:w="1418" w:type="dxa"/>
            <w:vMerge w:val="continue"/>
            <w:vAlign w:val="center"/>
          </w:tcPr>
          <w:p>
            <w:pPr>
              <w:spacing w:line="240" w:lineRule="auto"/>
              <w:jc w:val="center"/>
              <w:rPr>
                <w:sz w:val="22"/>
              </w:rPr>
            </w:pPr>
          </w:p>
        </w:tc>
        <w:tc>
          <w:tcPr>
            <w:tcW w:w="1105" w:type="dxa"/>
            <w:vAlign w:val="center"/>
          </w:tcPr>
          <w:p>
            <w:pPr>
              <w:spacing w:line="240" w:lineRule="auto"/>
              <w:jc w:val="center"/>
              <w:rPr>
                <w:sz w:val="22"/>
              </w:rPr>
            </w:pPr>
            <w:r>
              <w:rPr>
                <w:sz w:val="22"/>
              </w:rPr>
              <w:t>噪声处理</w:t>
            </w:r>
          </w:p>
        </w:tc>
        <w:tc>
          <w:tcPr>
            <w:tcW w:w="4961" w:type="dxa"/>
            <w:tcBorders>
              <w:right w:val="single" w:color="auto" w:sz="4" w:space="0"/>
            </w:tcBorders>
            <w:vAlign w:val="center"/>
          </w:tcPr>
          <w:p>
            <w:pPr>
              <w:spacing w:line="240" w:lineRule="auto"/>
              <w:rPr>
                <w:sz w:val="22"/>
              </w:rPr>
            </w:pPr>
            <w:r>
              <w:rPr>
                <w:rFonts w:hint="eastAsia"/>
                <w:sz w:val="22"/>
              </w:rPr>
              <w:t>通过采用低噪声设备，同时采取减振、消声、隔声，加强绿化等措施。</w:t>
            </w:r>
          </w:p>
        </w:tc>
        <w:tc>
          <w:tcPr>
            <w:tcW w:w="1559" w:type="dxa"/>
            <w:tcBorders>
              <w:left w:val="single" w:color="auto" w:sz="4" w:space="0"/>
              <w:right w:val="single" w:color="auto" w:sz="6" w:space="0"/>
            </w:tcBorders>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418" w:type="dxa"/>
            <w:vMerge w:val="continue"/>
            <w:vAlign w:val="center"/>
          </w:tcPr>
          <w:p>
            <w:pPr>
              <w:spacing w:line="240" w:lineRule="auto"/>
              <w:jc w:val="center"/>
              <w:rPr>
                <w:sz w:val="22"/>
              </w:rPr>
            </w:pPr>
          </w:p>
        </w:tc>
        <w:tc>
          <w:tcPr>
            <w:tcW w:w="1105" w:type="dxa"/>
            <w:vMerge w:val="restart"/>
            <w:vAlign w:val="center"/>
          </w:tcPr>
          <w:p>
            <w:pPr>
              <w:spacing w:line="240" w:lineRule="auto"/>
              <w:jc w:val="center"/>
              <w:rPr>
                <w:sz w:val="22"/>
              </w:rPr>
            </w:pPr>
            <w:r>
              <w:rPr>
                <w:sz w:val="22"/>
              </w:rPr>
              <w:t>固废处理</w:t>
            </w:r>
          </w:p>
        </w:tc>
        <w:tc>
          <w:tcPr>
            <w:tcW w:w="4961" w:type="dxa"/>
            <w:tcBorders>
              <w:right w:val="single" w:color="auto" w:sz="4" w:space="0"/>
            </w:tcBorders>
            <w:vAlign w:val="center"/>
          </w:tcPr>
          <w:p>
            <w:pPr>
              <w:spacing w:line="240" w:lineRule="auto"/>
              <w:rPr>
                <w:sz w:val="22"/>
              </w:rPr>
            </w:pPr>
            <w:r>
              <w:rPr>
                <w:rFonts w:hint="eastAsia"/>
                <w:sz w:val="22"/>
              </w:rPr>
              <w:t>脉冲布袋除尘器收集的粉尘收集后外卖综合利用，石膏线条生产过程中产生的石膏浆渣和不合格品收集后外卖用作建筑材料；废胶桶收集后由生产厂家负责回收重新利用；机械加工下脚料和铁屑收集后外卖废品回收站；焊渣收集后外卖；废包装材料收集后外卖废品回收站；职工生活垃圾集中收集后由环卫部门统一清运处理。</w:t>
            </w:r>
          </w:p>
        </w:tc>
        <w:tc>
          <w:tcPr>
            <w:tcW w:w="1559" w:type="dxa"/>
            <w:vMerge w:val="restart"/>
            <w:tcBorders>
              <w:left w:val="single" w:color="auto" w:sz="4" w:space="0"/>
              <w:right w:val="single" w:color="auto" w:sz="6" w:space="0"/>
            </w:tcBorders>
            <w:vAlign w:val="center"/>
          </w:tcPr>
          <w:p>
            <w:pPr>
              <w:spacing w:line="240" w:lineRule="auto"/>
              <w:jc w:val="center"/>
              <w:rPr>
                <w:sz w:val="22"/>
              </w:rPr>
            </w:pPr>
            <w:r>
              <w:rPr>
                <w:rFonts w:hint="eastAsia"/>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18" w:type="dxa"/>
            <w:vMerge w:val="continue"/>
            <w:tcBorders>
              <w:bottom w:val="single" w:color="auto" w:sz="6" w:space="0"/>
            </w:tcBorders>
            <w:vAlign w:val="center"/>
          </w:tcPr>
          <w:p>
            <w:pPr>
              <w:spacing w:line="240" w:lineRule="auto"/>
              <w:jc w:val="center"/>
              <w:rPr>
                <w:sz w:val="22"/>
              </w:rPr>
            </w:pPr>
          </w:p>
        </w:tc>
        <w:tc>
          <w:tcPr>
            <w:tcW w:w="1105" w:type="dxa"/>
            <w:vMerge w:val="continue"/>
            <w:vAlign w:val="center"/>
          </w:tcPr>
          <w:p>
            <w:pPr>
              <w:spacing w:line="240" w:lineRule="auto"/>
              <w:jc w:val="center"/>
              <w:rPr>
                <w:sz w:val="22"/>
              </w:rPr>
            </w:pPr>
          </w:p>
        </w:tc>
        <w:tc>
          <w:tcPr>
            <w:tcW w:w="4961" w:type="dxa"/>
            <w:tcBorders>
              <w:right w:val="single" w:color="auto" w:sz="4" w:space="0"/>
            </w:tcBorders>
            <w:vAlign w:val="center"/>
          </w:tcPr>
          <w:p>
            <w:pPr>
              <w:spacing w:line="240" w:lineRule="auto"/>
              <w:rPr>
                <w:sz w:val="22"/>
              </w:rPr>
            </w:pPr>
            <w:r>
              <w:rPr>
                <w:rFonts w:hint="eastAsia"/>
                <w:sz w:val="22"/>
              </w:rPr>
              <w:t>废液压油及其包装物、废切削液委托有资质单位进行回收处理。</w:t>
            </w:r>
          </w:p>
        </w:tc>
        <w:tc>
          <w:tcPr>
            <w:tcW w:w="1559" w:type="dxa"/>
            <w:vMerge w:val="continue"/>
            <w:tcBorders>
              <w:left w:val="single" w:color="auto" w:sz="4" w:space="0"/>
              <w:right w:val="single" w:color="auto" w:sz="6" w:space="0"/>
            </w:tcBorders>
            <w:vAlign w:val="center"/>
          </w:tcPr>
          <w:p>
            <w:pPr>
              <w:spacing w:line="240" w:lineRule="auto"/>
              <w:jc w:val="center"/>
              <w:rPr>
                <w:sz w:val="22"/>
              </w:rPr>
            </w:pPr>
          </w:p>
        </w:tc>
      </w:tr>
      <w:bookmarkEnd w:id="30"/>
      <w:bookmarkEnd w:id="31"/>
    </w:tbl>
    <w:p>
      <w:pPr>
        <w:pStyle w:val="49"/>
        <w:spacing w:before="177"/>
      </w:pPr>
      <w:r>
        <w:t>表3.2-</w:t>
      </w:r>
      <w:r>
        <w:rPr>
          <w:rFonts w:hint="eastAsia"/>
        </w:rPr>
        <w:t>3 生产设备</w:t>
      </w:r>
      <w:r>
        <w:t>一览表</w:t>
      </w:r>
    </w:p>
    <w:tbl>
      <w:tblPr>
        <w:tblStyle w:val="47"/>
        <w:tblW w:w="9196" w:type="dxa"/>
        <w:tblInd w:w="0" w:type="dxa"/>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95"/>
        <w:gridCol w:w="817"/>
        <w:gridCol w:w="1846"/>
        <w:gridCol w:w="1420"/>
        <w:gridCol w:w="994"/>
        <w:gridCol w:w="994"/>
        <w:gridCol w:w="994"/>
        <w:gridCol w:w="1136"/>
      </w:tblGrid>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995" w:type="dxa"/>
            <w:vAlign w:val="center"/>
          </w:tcPr>
          <w:p>
            <w:pPr>
              <w:spacing w:line="240" w:lineRule="auto"/>
              <w:jc w:val="center"/>
              <w:rPr>
                <w:sz w:val="22"/>
              </w:rPr>
            </w:pPr>
            <w:bookmarkStart w:id="32" w:name="_Toc502699358"/>
            <w:bookmarkStart w:id="33" w:name="_Toc499059459"/>
            <w:bookmarkStart w:id="34" w:name="_Toc499060196"/>
            <w:r>
              <w:rPr>
                <w:rFonts w:hint="eastAsia"/>
                <w:sz w:val="22"/>
              </w:rPr>
              <w:t>产品</w:t>
            </w:r>
          </w:p>
        </w:tc>
        <w:tc>
          <w:tcPr>
            <w:tcW w:w="817" w:type="dxa"/>
            <w:shd w:val="clear" w:color="auto" w:fill="auto"/>
            <w:vAlign w:val="center"/>
          </w:tcPr>
          <w:p>
            <w:pPr>
              <w:spacing w:line="240" w:lineRule="auto"/>
              <w:jc w:val="center"/>
              <w:rPr>
                <w:sz w:val="22"/>
              </w:rPr>
            </w:pPr>
            <w:r>
              <w:rPr>
                <w:rFonts w:hint="eastAsia"/>
                <w:sz w:val="22"/>
              </w:rPr>
              <w:t>序号</w:t>
            </w:r>
          </w:p>
        </w:tc>
        <w:tc>
          <w:tcPr>
            <w:tcW w:w="1846" w:type="dxa"/>
            <w:shd w:val="clear" w:color="auto" w:fill="auto"/>
            <w:vAlign w:val="center"/>
          </w:tcPr>
          <w:p>
            <w:pPr>
              <w:spacing w:line="240" w:lineRule="auto"/>
              <w:jc w:val="center"/>
              <w:rPr>
                <w:sz w:val="22"/>
              </w:rPr>
            </w:pPr>
            <w:r>
              <w:rPr>
                <w:rFonts w:hint="eastAsia"/>
                <w:sz w:val="22"/>
              </w:rPr>
              <w:t>设备名称</w:t>
            </w:r>
          </w:p>
        </w:tc>
        <w:tc>
          <w:tcPr>
            <w:tcW w:w="1420" w:type="dxa"/>
            <w:shd w:val="clear" w:color="auto" w:fill="auto"/>
            <w:vAlign w:val="center"/>
          </w:tcPr>
          <w:p>
            <w:pPr>
              <w:spacing w:line="240" w:lineRule="auto"/>
              <w:jc w:val="center"/>
              <w:rPr>
                <w:sz w:val="22"/>
              </w:rPr>
            </w:pPr>
            <w:r>
              <w:rPr>
                <w:rFonts w:hint="eastAsia"/>
                <w:sz w:val="22"/>
              </w:rPr>
              <w:t>型号</w:t>
            </w:r>
          </w:p>
        </w:tc>
        <w:tc>
          <w:tcPr>
            <w:tcW w:w="994" w:type="dxa"/>
            <w:shd w:val="clear" w:color="auto" w:fill="auto"/>
            <w:vAlign w:val="center"/>
          </w:tcPr>
          <w:p>
            <w:pPr>
              <w:spacing w:line="240" w:lineRule="auto"/>
              <w:jc w:val="center"/>
              <w:rPr>
                <w:sz w:val="22"/>
              </w:rPr>
            </w:pPr>
            <w:r>
              <w:rPr>
                <w:rFonts w:hint="eastAsia"/>
                <w:sz w:val="22"/>
              </w:rPr>
              <w:t>单位</w:t>
            </w:r>
          </w:p>
        </w:tc>
        <w:tc>
          <w:tcPr>
            <w:tcW w:w="994" w:type="dxa"/>
            <w:shd w:val="clear" w:color="auto" w:fill="auto"/>
            <w:vAlign w:val="center"/>
          </w:tcPr>
          <w:p>
            <w:pPr>
              <w:spacing w:line="240" w:lineRule="auto"/>
              <w:jc w:val="center"/>
              <w:rPr>
                <w:sz w:val="22"/>
              </w:rPr>
            </w:pPr>
            <w:r>
              <w:rPr>
                <w:rFonts w:hint="eastAsia"/>
                <w:sz w:val="22"/>
              </w:rPr>
              <w:t>环评数量</w:t>
            </w:r>
          </w:p>
        </w:tc>
        <w:tc>
          <w:tcPr>
            <w:tcW w:w="994" w:type="dxa"/>
            <w:tcBorders>
              <w:right w:val="single" w:color="auto" w:sz="6" w:space="0"/>
            </w:tcBorders>
            <w:vAlign w:val="center"/>
          </w:tcPr>
          <w:p>
            <w:pPr>
              <w:spacing w:line="240" w:lineRule="auto"/>
              <w:jc w:val="center"/>
              <w:rPr>
                <w:sz w:val="22"/>
              </w:rPr>
            </w:pPr>
            <w:r>
              <w:rPr>
                <w:rFonts w:hint="eastAsia"/>
                <w:sz w:val="22"/>
              </w:rPr>
              <w:t>实际数量</w:t>
            </w:r>
          </w:p>
        </w:tc>
        <w:tc>
          <w:tcPr>
            <w:tcW w:w="1136" w:type="dxa"/>
            <w:tcBorders>
              <w:left w:val="single" w:color="auto" w:sz="6" w:space="0"/>
            </w:tcBorders>
            <w:vAlign w:val="center"/>
          </w:tcPr>
          <w:p>
            <w:pPr>
              <w:spacing w:line="240" w:lineRule="auto"/>
              <w:jc w:val="center"/>
              <w:rPr>
                <w:sz w:val="22"/>
              </w:rPr>
            </w:pPr>
            <w:r>
              <w:rPr>
                <w:rFonts w:hint="eastAsia" w:ascii="宋体" w:hAnsi="宋体"/>
                <w:bCs/>
                <w:sz w:val="22"/>
              </w:rPr>
              <w:t>是否与环评一致</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995" w:type="dxa"/>
            <w:vMerge w:val="restart"/>
            <w:vAlign w:val="center"/>
          </w:tcPr>
          <w:p>
            <w:pPr>
              <w:spacing w:line="240" w:lineRule="auto"/>
              <w:jc w:val="center"/>
              <w:rPr>
                <w:sz w:val="22"/>
              </w:rPr>
            </w:pPr>
            <w:r>
              <w:rPr>
                <w:rFonts w:hint="eastAsia"/>
                <w:sz w:val="22"/>
              </w:rPr>
              <w:t>石膏贴面板</w:t>
            </w:r>
          </w:p>
        </w:tc>
        <w:tc>
          <w:tcPr>
            <w:tcW w:w="817" w:type="dxa"/>
            <w:shd w:val="clear" w:color="auto" w:fill="auto"/>
            <w:vAlign w:val="center"/>
          </w:tcPr>
          <w:p>
            <w:pPr>
              <w:spacing w:line="240" w:lineRule="auto"/>
              <w:jc w:val="center"/>
              <w:rPr>
                <w:sz w:val="22"/>
              </w:rPr>
            </w:pPr>
            <w:r>
              <w:rPr>
                <w:rFonts w:hint="eastAsia"/>
                <w:sz w:val="22"/>
              </w:rPr>
              <w:t>1</w:t>
            </w:r>
          </w:p>
        </w:tc>
        <w:tc>
          <w:tcPr>
            <w:tcW w:w="1846" w:type="dxa"/>
            <w:shd w:val="clear" w:color="auto" w:fill="auto"/>
            <w:vAlign w:val="center"/>
          </w:tcPr>
          <w:p>
            <w:pPr>
              <w:spacing w:line="240" w:lineRule="auto"/>
              <w:jc w:val="center"/>
              <w:rPr>
                <w:sz w:val="22"/>
              </w:rPr>
            </w:pPr>
            <w:r>
              <w:rPr>
                <w:rFonts w:hint="eastAsia"/>
                <w:sz w:val="22"/>
              </w:rPr>
              <w:t>双面贴膜机</w:t>
            </w:r>
          </w:p>
        </w:tc>
        <w:tc>
          <w:tcPr>
            <w:tcW w:w="1420" w:type="dxa"/>
            <w:shd w:val="clear" w:color="auto" w:fill="auto"/>
            <w:vAlign w:val="center"/>
          </w:tcPr>
          <w:p>
            <w:pPr>
              <w:spacing w:line="240" w:lineRule="auto"/>
              <w:jc w:val="center"/>
              <w:rPr>
                <w:sz w:val="22"/>
              </w:rPr>
            </w:pPr>
            <w:r>
              <w:rPr>
                <w:sz w:val="22"/>
              </w:rPr>
              <w:t>L</w:t>
            </w:r>
            <w:r>
              <w:rPr>
                <w:rFonts w:hint="eastAsia"/>
                <w:sz w:val="22"/>
              </w:rPr>
              <w:t>yyxjx</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spacing w:line="240" w:lineRule="auto"/>
              <w:jc w:val="center"/>
              <w:rPr>
                <w:sz w:val="22"/>
              </w:rP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2</w:t>
            </w:r>
          </w:p>
        </w:tc>
        <w:tc>
          <w:tcPr>
            <w:tcW w:w="1846" w:type="dxa"/>
            <w:shd w:val="clear" w:color="auto" w:fill="auto"/>
            <w:vAlign w:val="center"/>
          </w:tcPr>
          <w:p>
            <w:pPr>
              <w:spacing w:line="240" w:lineRule="auto"/>
              <w:jc w:val="center"/>
              <w:rPr>
                <w:sz w:val="22"/>
              </w:rPr>
            </w:pPr>
            <w:r>
              <w:rPr>
                <w:rFonts w:hint="eastAsia"/>
                <w:sz w:val="22"/>
              </w:rPr>
              <w:t>切割锯</w:t>
            </w:r>
          </w:p>
        </w:tc>
        <w:tc>
          <w:tcPr>
            <w:tcW w:w="1420" w:type="dxa"/>
            <w:shd w:val="clear" w:color="auto" w:fill="auto"/>
            <w:vAlign w:val="center"/>
          </w:tcPr>
          <w:p>
            <w:pPr>
              <w:spacing w:line="240" w:lineRule="auto"/>
              <w:jc w:val="center"/>
              <w:rPr>
                <w:sz w:val="22"/>
              </w:rPr>
            </w:pPr>
            <w:r>
              <w:rPr>
                <w:rFonts w:hint="eastAsia"/>
                <w:sz w:val="22"/>
              </w:rPr>
              <w:t>—</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2</w:t>
            </w:r>
          </w:p>
        </w:tc>
        <w:tc>
          <w:tcPr>
            <w:tcW w:w="1136" w:type="dxa"/>
            <w:tcBorders>
              <w:left w:val="single" w:color="auto" w:sz="6" w:space="0"/>
            </w:tcBorders>
            <w:vAlign w:val="center"/>
          </w:tcPr>
          <w:p>
            <w:pPr>
              <w:spacing w:line="240" w:lineRule="auto"/>
              <w:jc w:val="center"/>
              <w:rPr>
                <w:sz w:val="22"/>
              </w:rPr>
            </w:pPr>
            <w:r>
              <w:rPr>
                <w:rFonts w:hint="eastAsia"/>
                <w:sz w:val="22"/>
              </w:rPr>
              <w:t>否</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3</w:t>
            </w:r>
          </w:p>
        </w:tc>
        <w:tc>
          <w:tcPr>
            <w:tcW w:w="1846" w:type="dxa"/>
            <w:shd w:val="clear" w:color="auto" w:fill="auto"/>
            <w:vAlign w:val="center"/>
          </w:tcPr>
          <w:p>
            <w:pPr>
              <w:spacing w:line="240" w:lineRule="auto"/>
              <w:jc w:val="center"/>
              <w:rPr>
                <w:sz w:val="22"/>
              </w:rPr>
            </w:pPr>
            <w:r>
              <w:rPr>
                <w:rFonts w:hint="eastAsia"/>
                <w:sz w:val="22"/>
              </w:rPr>
              <w:t>包装流水线</w:t>
            </w:r>
          </w:p>
        </w:tc>
        <w:tc>
          <w:tcPr>
            <w:tcW w:w="1420" w:type="dxa"/>
            <w:shd w:val="clear" w:color="auto" w:fill="auto"/>
            <w:vAlign w:val="center"/>
          </w:tcPr>
          <w:p>
            <w:pPr>
              <w:spacing w:line="240" w:lineRule="auto"/>
              <w:jc w:val="center"/>
              <w:rPr>
                <w:sz w:val="22"/>
              </w:rPr>
            </w:pPr>
            <w:r>
              <w:rPr>
                <w:rFonts w:hint="eastAsia"/>
                <w:sz w:val="22"/>
              </w:rPr>
              <w:t>yxjx-01</w:t>
            </w:r>
          </w:p>
        </w:tc>
        <w:tc>
          <w:tcPr>
            <w:tcW w:w="994" w:type="dxa"/>
            <w:shd w:val="clear" w:color="auto" w:fill="auto"/>
            <w:vAlign w:val="center"/>
          </w:tcPr>
          <w:p>
            <w:pPr>
              <w:spacing w:line="240" w:lineRule="auto"/>
              <w:jc w:val="center"/>
              <w:rPr>
                <w:sz w:val="22"/>
              </w:rPr>
            </w:pPr>
            <w:r>
              <w:rPr>
                <w:rFonts w:hint="eastAsia"/>
                <w:sz w:val="22"/>
              </w:rPr>
              <w:t>条</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spacing w:line="240" w:lineRule="auto"/>
              <w:jc w:val="center"/>
              <w:rPr>
                <w:sz w:val="22"/>
              </w:rP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4</w:t>
            </w:r>
          </w:p>
        </w:tc>
        <w:tc>
          <w:tcPr>
            <w:tcW w:w="1846" w:type="dxa"/>
            <w:shd w:val="clear" w:color="auto" w:fill="auto"/>
            <w:vAlign w:val="center"/>
          </w:tcPr>
          <w:p>
            <w:pPr>
              <w:spacing w:line="240" w:lineRule="auto"/>
              <w:jc w:val="center"/>
              <w:rPr>
                <w:sz w:val="22"/>
              </w:rPr>
            </w:pPr>
            <w:r>
              <w:rPr>
                <w:rFonts w:hint="eastAsia"/>
                <w:sz w:val="22"/>
              </w:rPr>
              <w:t>码垛机</w:t>
            </w:r>
          </w:p>
        </w:tc>
        <w:tc>
          <w:tcPr>
            <w:tcW w:w="1420" w:type="dxa"/>
            <w:shd w:val="clear" w:color="auto" w:fill="auto"/>
            <w:vAlign w:val="center"/>
          </w:tcPr>
          <w:p>
            <w:pPr>
              <w:spacing w:line="240" w:lineRule="auto"/>
              <w:jc w:val="center"/>
              <w:rPr>
                <w:sz w:val="22"/>
              </w:rPr>
            </w:pPr>
            <w:r>
              <w:rPr>
                <w:rFonts w:hint="eastAsia"/>
                <w:sz w:val="22"/>
              </w:rPr>
              <w:t>zxjx-22</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spacing w:line="240" w:lineRule="auto"/>
              <w:jc w:val="center"/>
              <w:rPr>
                <w:sz w:val="22"/>
              </w:rP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restart"/>
            <w:vAlign w:val="center"/>
          </w:tcPr>
          <w:p>
            <w:pPr>
              <w:spacing w:line="240" w:lineRule="auto"/>
              <w:jc w:val="center"/>
              <w:rPr>
                <w:sz w:val="22"/>
              </w:rPr>
            </w:pPr>
            <w:r>
              <w:rPr>
                <w:rFonts w:hint="eastAsia"/>
                <w:sz w:val="22"/>
              </w:rPr>
              <w:t>石膏线条</w:t>
            </w:r>
          </w:p>
        </w:tc>
        <w:tc>
          <w:tcPr>
            <w:tcW w:w="817" w:type="dxa"/>
            <w:shd w:val="clear" w:color="auto" w:fill="auto"/>
            <w:vAlign w:val="center"/>
          </w:tcPr>
          <w:p>
            <w:pPr>
              <w:spacing w:line="240" w:lineRule="auto"/>
              <w:jc w:val="center"/>
              <w:rPr>
                <w:sz w:val="22"/>
              </w:rPr>
            </w:pPr>
            <w:r>
              <w:rPr>
                <w:rFonts w:hint="eastAsia"/>
                <w:sz w:val="22"/>
              </w:rPr>
              <w:t>5</w:t>
            </w:r>
          </w:p>
        </w:tc>
        <w:tc>
          <w:tcPr>
            <w:tcW w:w="1846" w:type="dxa"/>
            <w:shd w:val="clear" w:color="auto" w:fill="auto"/>
            <w:vAlign w:val="center"/>
          </w:tcPr>
          <w:p>
            <w:pPr>
              <w:spacing w:line="240" w:lineRule="auto"/>
              <w:jc w:val="center"/>
              <w:rPr>
                <w:sz w:val="22"/>
              </w:rPr>
            </w:pPr>
            <w:r>
              <w:rPr>
                <w:rFonts w:hint="eastAsia"/>
                <w:sz w:val="22"/>
              </w:rPr>
              <w:t>石膏线条生产线</w:t>
            </w:r>
          </w:p>
        </w:tc>
        <w:tc>
          <w:tcPr>
            <w:tcW w:w="1420" w:type="dxa"/>
            <w:shd w:val="clear" w:color="auto" w:fill="auto"/>
            <w:vAlign w:val="center"/>
          </w:tcPr>
          <w:p>
            <w:pPr>
              <w:spacing w:line="240" w:lineRule="auto"/>
              <w:jc w:val="center"/>
              <w:rPr>
                <w:sz w:val="22"/>
              </w:rPr>
            </w:pPr>
            <w:r>
              <w:rPr>
                <w:rFonts w:hint="eastAsia"/>
                <w:sz w:val="22"/>
              </w:rPr>
              <w:t>zxjx-xt</w:t>
            </w:r>
          </w:p>
        </w:tc>
        <w:tc>
          <w:tcPr>
            <w:tcW w:w="994" w:type="dxa"/>
            <w:shd w:val="clear" w:color="auto" w:fill="auto"/>
            <w:vAlign w:val="center"/>
          </w:tcPr>
          <w:p>
            <w:pPr>
              <w:spacing w:line="240" w:lineRule="auto"/>
              <w:jc w:val="center"/>
              <w:rPr>
                <w:sz w:val="22"/>
              </w:rPr>
            </w:pPr>
            <w:r>
              <w:rPr>
                <w:rFonts w:hint="eastAsia"/>
                <w:sz w:val="22"/>
              </w:rPr>
              <w:t>条</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spacing w:line="240" w:lineRule="auto"/>
              <w:jc w:val="center"/>
              <w:rPr>
                <w:sz w:val="22"/>
              </w:rP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6</w:t>
            </w:r>
          </w:p>
        </w:tc>
        <w:tc>
          <w:tcPr>
            <w:tcW w:w="1846" w:type="dxa"/>
            <w:shd w:val="clear" w:color="auto" w:fill="auto"/>
            <w:vAlign w:val="center"/>
          </w:tcPr>
          <w:p>
            <w:pPr>
              <w:spacing w:line="240" w:lineRule="auto"/>
              <w:jc w:val="center"/>
              <w:rPr>
                <w:sz w:val="22"/>
              </w:rPr>
            </w:pPr>
            <w:r>
              <w:rPr>
                <w:rFonts w:hint="eastAsia"/>
                <w:sz w:val="22"/>
              </w:rPr>
              <w:t>筒仓</w:t>
            </w:r>
          </w:p>
        </w:tc>
        <w:tc>
          <w:tcPr>
            <w:tcW w:w="1420" w:type="dxa"/>
            <w:shd w:val="clear" w:color="auto" w:fill="auto"/>
            <w:vAlign w:val="center"/>
          </w:tcPr>
          <w:p>
            <w:pPr>
              <w:spacing w:line="240" w:lineRule="auto"/>
              <w:jc w:val="center"/>
              <w:rPr>
                <w:sz w:val="22"/>
              </w:rPr>
            </w:pPr>
            <w:r>
              <w:rPr>
                <w:rFonts w:hint="eastAsia"/>
                <w:sz w:val="22"/>
              </w:rPr>
              <w:t>—</w:t>
            </w:r>
          </w:p>
        </w:tc>
        <w:tc>
          <w:tcPr>
            <w:tcW w:w="994" w:type="dxa"/>
            <w:shd w:val="clear" w:color="auto" w:fill="auto"/>
            <w:vAlign w:val="center"/>
          </w:tcPr>
          <w:p>
            <w:pPr>
              <w:spacing w:line="240" w:lineRule="auto"/>
              <w:jc w:val="center"/>
              <w:rPr>
                <w:sz w:val="22"/>
              </w:rPr>
            </w:pPr>
            <w:r>
              <w:rPr>
                <w:rFonts w:hint="eastAsia"/>
                <w:sz w:val="22"/>
              </w:rPr>
              <w:t>个</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spacing w:line="240" w:lineRule="auto"/>
              <w:jc w:val="center"/>
              <w:rPr>
                <w:sz w:val="22"/>
              </w:rP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7</w:t>
            </w:r>
          </w:p>
        </w:tc>
        <w:tc>
          <w:tcPr>
            <w:tcW w:w="1846" w:type="dxa"/>
            <w:shd w:val="clear" w:color="auto" w:fill="auto"/>
            <w:vAlign w:val="center"/>
          </w:tcPr>
          <w:p>
            <w:pPr>
              <w:spacing w:line="240" w:lineRule="auto"/>
              <w:jc w:val="center"/>
              <w:rPr>
                <w:sz w:val="22"/>
              </w:rPr>
            </w:pPr>
            <w:r>
              <w:rPr>
                <w:rFonts w:hint="eastAsia"/>
                <w:sz w:val="22"/>
              </w:rPr>
              <w:t>搅拌机</w:t>
            </w:r>
          </w:p>
        </w:tc>
        <w:tc>
          <w:tcPr>
            <w:tcW w:w="1420" w:type="dxa"/>
            <w:shd w:val="clear" w:color="auto" w:fill="auto"/>
            <w:vAlign w:val="center"/>
          </w:tcPr>
          <w:p>
            <w:pPr>
              <w:spacing w:line="240" w:lineRule="auto"/>
              <w:jc w:val="center"/>
              <w:rPr>
                <w:sz w:val="22"/>
              </w:rPr>
            </w:pPr>
            <w:r>
              <w:rPr>
                <w:rFonts w:hint="eastAsia"/>
                <w:sz w:val="22"/>
              </w:rPr>
              <w:t>—</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jc w:val="cente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restart"/>
            <w:vAlign w:val="center"/>
          </w:tcPr>
          <w:p>
            <w:pPr>
              <w:spacing w:line="240" w:lineRule="auto"/>
              <w:jc w:val="center"/>
              <w:rPr>
                <w:sz w:val="22"/>
              </w:rPr>
            </w:pPr>
            <w:r>
              <w:rPr>
                <w:rFonts w:hint="eastAsia"/>
                <w:sz w:val="22"/>
              </w:rPr>
              <w:t>机械设备</w:t>
            </w:r>
          </w:p>
        </w:tc>
        <w:tc>
          <w:tcPr>
            <w:tcW w:w="817" w:type="dxa"/>
            <w:shd w:val="clear" w:color="auto" w:fill="auto"/>
            <w:vAlign w:val="center"/>
          </w:tcPr>
          <w:p>
            <w:pPr>
              <w:spacing w:line="240" w:lineRule="auto"/>
              <w:jc w:val="center"/>
              <w:rPr>
                <w:sz w:val="22"/>
              </w:rPr>
            </w:pPr>
            <w:r>
              <w:rPr>
                <w:rFonts w:hint="eastAsia"/>
                <w:sz w:val="22"/>
              </w:rPr>
              <w:t>8</w:t>
            </w:r>
          </w:p>
        </w:tc>
        <w:tc>
          <w:tcPr>
            <w:tcW w:w="1846" w:type="dxa"/>
            <w:shd w:val="clear" w:color="auto" w:fill="auto"/>
            <w:vAlign w:val="center"/>
          </w:tcPr>
          <w:p>
            <w:pPr>
              <w:spacing w:line="240" w:lineRule="auto"/>
              <w:jc w:val="center"/>
              <w:rPr>
                <w:sz w:val="22"/>
              </w:rPr>
            </w:pPr>
            <w:r>
              <w:rPr>
                <w:rFonts w:hint="eastAsia"/>
                <w:sz w:val="22"/>
              </w:rPr>
              <w:t>气泵</w:t>
            </w:r>
          </w:p>
        </w:tc>
        <w:tc>
          <w:tcPr>
            <w:tcW w:w="1420" w:type="dxa"/>
            <w:shd w:val="clear" w:color="auto" w:fill="auto"/>
            <w:vAlign w:val="center"/>
          </w:tcPr>
          <w:p>
            <w:pPr>
              <w:spacing w:line="240" w:lineRule="auto"/>
              <w:jc w:val="center"/>
              <w:rPr>
                <w:sz w:val="22"/>
              </w:rPr>
            </w:pPr>
            <w:r>
              <w:rPr>
                <w:rFonts w:hint="eastAsia"/>
                <w:sz w:val="22"/>
              </w:rPr>
              <w:t>5.5kW</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jc w:val="cente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9</w:t>
            </w:r>
          </w:p>
        </w:tc>
        <w:tc>
          <w:tcPr>
            <w:tcW w:w="1846" w:type="dxa"/>
            <w:shd w:val="clear" w:color="auto" w:fill="auto"/>
            <w:vAlign w:val="center"/>
          </w:tcPr>
          <w:p>
            <w:pPr>
              <w:spacing w:line="240" w:lineRule="auto"/>
              <w:jc w:val="center"/>
              <w:rPr>
                <w:sz w:val="22"/>
              </w:rPr>
            </w:pPr>
            <w:r>
              <w:rPr>
                <w:rFonts w:hint="eastAsia"/>
                <w:sz w:val="22"/>
              </w:rPr>
              <w:t>气割机</w:t>
            </w:r>
          </w:p>
        </w:tc>
        <w:tc>
          <w:tcPr>
            <w:tcW w:w="1420" w:type="dxa"/>
            <w:shd w:val="clear" w:color="auto" w:fill="auto"/>
            <w:vAlign w:val="center"/>
          </w:tcPr>
          <w:p>
            <w:pPr>
              <w:spacing w:line="240" w:lineRule="auto"/>
              <w:jc w:val="center"/>
              <w:rPr>
                <w:sz w:val="22"/>
              </w:rPr>
            </w:pPr>
            <w:r>
              <w:rPr>
                <w:rFonts w:hint="eastAsia"/>
                <w:sz w:val="22"/>
              </w:rPr>
              <w:t>—</w:t>
            </w:r>
          </w:p>
        </w:tc>
        <w:tc>
          <w:tcPr>
            <w:tcW w:w="994" w:type="dxa"/>
            <w:shd w:val="clear" w:color="auto" w:fill="auto"/>
            <w:vAlign w:val="center"/>
          </w:tcPr>
          <w:p>
            <w:pPr>
              <w:spacing w:line="240" w:lineRule="auto"/>
              <w:jc w:val="center"/>
              <w:rPr>
                <w:sz w:val="22"/>
              </w:rPr>
            </w:pPr>
            <w:r>
              <w:rPr>
                <w:rFonts w:hint="eastAsia"/>
                <w:sz w:val="22"/>
              </w:rPr>
              <w:t>套</w:t>
            </w:r>
          </w:p>
        </w:tc>
        <w:tc>
          <w:tcPr>
            <w:tcW w:w="994" w:type="dxa"/>
            <w:shd w:val="clear" w:color="auto" w:fill="auto"/>
            <w:vAlign w:val="center"/>
          </w:tcPr>
          <w:p>
            <w:pPr>
              <w:spacing w:line="240" w:lineRule="auto"/>
              <w:jc w:val="center"/>
              <w:rPr>
                <w:sz w:val="22"/>
              </w:rPr>
            </w:pPr>
            <w:r>
              <w:rPr>
                <w:rFonts w:hint="eastAsia"/>
                <w:sz w:val="22"/>
              </w:rPr>
              <w:t>2</w:t>
            </w:r>
          </w:p>
        </w:tc>
        <w:tc>
          <w:tcPr>
            <w:tcW w:w="994" w:type="dxa"/>
            <w:tcBorders>
              <w:right w:val="single" w:color="auto" w:sz="6" w:space="0"/>
            </w:tcBorders>
            <w:vAlign w:val="center"/>
          </w:tcPr>
          <w:p>
            <w:pPr>
              <w:spacing w:line="240" w:lineRule="auto"/>
              <w:jc w:val="center"/>
              <w:rPr>
                <w:sz w:val="22"/>
              </w:rPr>
            </w:pPr>
            <w:r>
              <w:rPr>
                <w:rFonts w:hint="eastAsia"/>
                <w:sz w:val="22"/>
              </w:rPr>
              <w:t>2</w:t>
            </w:r>
          </w:p>
        </w:tc>
        <w:tc>
          <w:tcPr>
            <w:tcW w:w="1136" w:type="dxa"/>
            <w:tcBorders>
              <w:left w:val="single" w:color="auto" w:sz="6" w:space="0"/>
            </w:tcBorders>
            <w:vAlign w:val="center"/>
          </w:tcPr>
          <w:p>
            <w:pPr>
              <w:jc w:val="cente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10</w:t>
            </w:r>
          </w:p>
        </w:tc>
        <w:tc>
          <w:tcPr>
            <w:tcW w:w="1846" w:type="dxa"/>
            <w:shd w:val="clear" w:color="auto" w:fill="auto"/>
            <w:vAlign w:val="center"/>
          </w:tcPr>
          <w:p>
            <w:pPr>
              <w:spacing w:line="240" w:lineRule="auto"/>
              <w:jc w:val="center"/>
              <w:rPr>
                <w:sz w:val="22"/>
              </w:rPr>
            </w:pPr>
            <w:r>
              <w:rPr>
                <w:rFonts w:hint="eastAsia"/>
                <w:sz w:val="22"/>
              </w:rPr>
              <w:t>二保焊</w:t>
            </w:r>
          </w:p>
        </w:tc>
        <w:tc>
          <w:tcPr>
            <w:tcW w:w="1420" w:type="dxa"/>
            <w:shd w:val="clear" w:color="auto" w:fill="auto"/>
            <w:vAlign w:val="center"/>
          </w:tcPr>
          <w:p>
            <w:pPr>
              <w:spacing w:line="240" w:lineRule="auto"/>
              <w:jc w:val="center"/>
              <w:rPr>
                <w:sz w:val="22"/>
              </w:rPr>
            </w:pPr>
            <w:r>
              <w:rPr>
                <w:rFonts w:hint="eastAsia"/>
                <w:sz w:val="22"/>
              </w:rPr>
              <w:t>—</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10</w:t>
            </w:r>
          </w:p>
        </w:tc>
        <w:tc>
          <w:tcPr>
            <w:tcW w:w="994" w:type="dxa"/>
            <w:tcBorders>
              <w:right w:val="single" w:color="auto" w:sz="6" w:space="0"/>
            </w:tcBorders>
            <w:vAlign w:val="center"/>
          </w:tcPr>
          <w:p>
            <w:pPr>
              <w:spacing w:line="240" w:lineRule="auto"/>
              <w:jc w:val="center"/>
              <w:rPr>
                <w:sz w:val="22"/>
              </w:rPr>
            </w:pPr>
            <w:r>
              <w:rPr>
                <w:rFonts w:hint="eastAsia"/>
                <w:sz w:val="22"/>
              </w:rPr>
              <w:t>10</w:t>
            </w:r>
          </w:p>
        </w:tc>
        <w:tc>
          <w:tcPr>
            <w:tcW w:w="1136" w:type="dxa"/>
            <w:tcBorders>
              <w:left w:val="single" w:color="auto" w:sz="6" w:space="0"/>
            </w:tcBorders>
            <w:vAlign w:val="center"/>
          </w:tcPr>
          <w:p>
            <w:pPr>
              <w:jc w:val="cente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11</w:t>
            </w:r>
          </w:p>
        </w:tc>
        <w:tc>
          <w:tcPr>
            <w:tcW w:w="1846" w:type="dxa"/>
            <w:shd w:val="clear" w:color="auto" w:fill="auto"/>
            <w:vAlign w:val="center"/>
          </w:tcPr>
          <w:p>
            <w:pPr>
              <w:spacing w:line="240" w:lineRule="auto"/>
              <w:jc w:val="center"/>
              <w:rPr>
                <w:sz w:val="22"/>
              </w:rPr>
            </w:pPr>
            <w:r>
              <w:rPr>
                <w:rFonts w:hint="eastAsia"/>
                <w:sz w:val="22"/>
              </w:rPr>
              <w:t>氩弧焊</w:t>
            </w:r>
          </w:p>
        </w:tc>
        <w:tc>
          <w:tcPr>
            <w:tcW w:w="1420" w:type="dxa"/>
            <w:shd w:val="clear" w:color="auto" w:fill="auto"/>
            <w:vAlign w:val="center"/>
          </w:tcPr>
          <w:p>
            <w:pPr>
              <w:spacing w:line="240" w:lineRule="auto"/>
              <w:jc w:val="center"/>
              <w:rPr>
                <w:sz w:val="22"/>
              </w:rPr>
            </w:pPr>
            <w:r>
              <w:rPr>
                <w:rFonts w:hint="eastAsia"/>
                <w:sz w:val="22"/>
              </w:rPr>
              <w:t>—</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jc w:val="cente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12</w:t>
            </w:r>
          </w:p>
        </w:tc>
        <w:tc>
          <w:tcPr>
            <w:tcW w:w="1846" w:type="dxa"/>
            <w:shd w:val="clear" w:color="auto" w:fill="auto"/>
            <w:vAlign w:val="center"/>
          </w:tcPr>
          <w:p>
            <w:pPr>
              <w:spacing w:line="240" w:lineRule="auto"/>
              <w:jc w:val="center"/>
              <w:rPr>
                <w:sz w:val="22"/>
              </w:rPr>
            </w:pPr>
            <w:r>
              <w:rPr>
                <w:rFonts w:hint="eastAsia"/>
                <w:sz w:val="22"/>
              </w:rPr>
              <w:t>电焊机</w:t>
            </w:r>
          </w:p>
        </w:tc>
        <w:tc>
          <w:tcPr>
            <w:tcW w:w="1420" w:type="dxa"/>
            <w:shd w:val="clear" w:color="auto" w:fill="auto"/>
            <w:vAlign w:val="center"/>
          </w:tcPr>
          <w:p>
            <w:pPr>
              <w:spacing w:line="240" w:lineRule="auto"/>
              <w:jc w:val="center"/>
              <w:rPr>
                <w:sz w:val="22"/>
              </w:rPr>
            </w:pPr>
            <w:r>
              <w:rPr>
                <w:rFonts w:hint="eastAsia"/>
                <w:sz w:val="22"/>
              </w:rPr>
              <w:t>—</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5</w:t>
            </w:r>
          </w:p>
        </w:tc>
        <w:tc>
          <w:tcPr>
            <w:tcW w:w="994" w:type="dxa"/>
            <w:tcBorders>
              <w:right w:val="single" w:color="auto" w:sz="6" w:space="0"/>
            </w:tcBorders>
            <w:vAlign w:val="center"/>
          </w:tcPr>
          <w:p>
            <w:pPr>
              <w:spacing w:line="240" w:lineRule="auto"/>
              <w:jc w:val="center"/>
              <w:rPr>
                <w:sz w:val="22"/>
              </w:rPr>
            </w:pPr>
            <w:r>
              <w:rPr>
                <w:rFonts w:hint="eastAsia"/>
                <w:sz w:val="22"/>
              </w:rPr>
              <w:t>5</w:t>
            </w:r>
          </w:p>
        </w:tc>
        <w:tc>
          <w:tcPr>
            <w:tcW w:w="1136" w:type="dxa"/>
            <w:tcBorders>
              <w:left w:val="single" w:color="auto" w:sz="6" w:space="0"/>
            </w:tcBorders>
            <w:vAlign w:val="center"/>
          </w:tcPr>
          <w:p>
            <w:pPr>
              <w:jc w:val="cente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13</w:t>
            </w:r>
          </w:p>
        </w:tc>
        <w:tc>
          <w:tcPr>
            <w:tcW w:w="1846" w:type="dxa"/>
            <w:shd w:val="clear" w:color="auto" w:fill="auto"/>
            <w:vAlign w:val="center"/>
          </w:tcPr>
          <w:p>
            <w:pPr>
              <w:spacing w:line="240" w:lineRule="auto"/>
              <w:jc w:val="center"/>
              <w:rPr>
                <w:sz w:val="22"/>
              </w:rPr>
            </w:pPr>
            <w:r>
              <w:rPr>
                <w:rFonts w:hint="eastAsia"/>
                <w:sz w:val="22"/>
              </w:rPr>
              <w:t>等离子切割机</w:t>
            </w:r>
          </w:p>
        </w:tc>
        <w:tc>
          <w:tcPr>
            <w:tcW w:w="1420" w:type="dxa"/>
            <w:shd w:val="clear" w:color="auto" w:fill="auto"/>
            <w:vAlign w:val="center"/>
          </w:tcPr>
          <w:p>
            <w:pPr>
              <w:spacing w:line="240" w:lineRule="auto"/>
              <w:jc w:val="center"/>
              <w:rPr>
                <w:sz w:val="22"/>
              </w:rPr>
            </w:pPr>
            <w:r>
              <w:rPr>
                <w:rFonts w:hint="eastAsia"/>
                <w:sz w:val="22"/>
              </w:rPr>
              <w:t>—</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2</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spacing w:line="240" w:lineRule="auto"/>
              <w:jc w:val="center"/>
              <w:rPr>
                <w:sz w:val="22"/>
              </w:rPr>
            </w:pPr>
            <w:r>
              <w:rPr>
                <w:rFonts w:hint="eastAsia"/>
                <w:sz w:val="22"/>
              </w:rPr>
              <w:t>否</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14</w:t>
            </w:r>
          </w:p>
        </w:tc>
        <w:tc>
          <w:tcPr>
            <w:tcW w:w="1846" w:type="dxa"/>
            <w:shd w:val="clear" w:color="auto" w:fill="auto"/>
            <w:vAlign w:val="center"/>
          </w:tcPr>
          <w:p>
            <w:pPr>
              <w:spacing w:line="240" w:lineRule="auto"/>
              <w:jc w:val="center"/>
              <w:rPr>
                <w:sz w:val="22"/>
              </w:rPr>
            </w:pPr>
            <w:r>
              <w:rPr>
                <w:rFonts w:hint="eastAsia"/>
                <w:sz w:val="22"/>
              </w:rPr>
              <w:t>锯床</w:t>
            </w:r>
          </w:p>
        </w:tc>
        <w:tc>
          <w:tcPr>
            <w:tcW w:w="1420" w:type="dxa"/>
            <w:shd w:val="clear" w:color="auto" w:fill="auto"/>
            <w:vAlign w:val="center"/>
          </w:tcPr>
          <w:p>
            <w:pPr>
              <w:spacing w:line="240" w:lineRule="auto"/>
              <w:jc w:val="center"/>
              <w:rPr>
                <w:sz w:val="22"/>
              </w:rPr>
            </w:pPr>
            <w:r>
              <w:rPr>
                <w:rFonts w:hint="eastAsia"/>
                <w:sz w:val="22"/>
              </w:rPr>
              <w:t>GZ4250、GZ4240</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2</w:t>
            </w:r>
          </w:p>
        </w:tc>
        <w:tc>
          <w:tcPr>
            <w:tcW w:w="994" w:type="dxa"/>
            <w:tcBorders>
              <w:right w:val="single" w:color="auto" w:sz="6" w:space="0"/>
            </w:tcBorders>
            <w:vAlign w:val="center"/>
          </w:tcPr>
          <w:p>
            <w:pPr>
              <w:spacing w:line="240" w:lineRule="auto"/>
              <w:jc w:val="center"/>
              <w:rPr>
                <w:sz w:val="22"/>
              </w:rPr>
            </w:pPr>
            <w:r>
              <w:rPr>
                <w:rFonts w:hint="eastAsia"/>
                <w:sz w:val="22"/>
              </w:rPr>
              <w:t>2</w:t>
            </w:r>
          </w:p>
        </w:tc>
        <w:tc>
          <w:tcPr>
            <w:tcW w:w="1136" w:type="dxa"/>
            <w:tcBorders>
              <w:left w:val="single" w:color="auto" w:sz="6" w:space="0"/>
            </w:tcBorders>
            <w:vAlign w:val="center"/>
          </w:tcPr>
          <w:p>
            <w:pPr>
              <w:jc w:val="cente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15</w:t>
            </w:r>
          </w:p>
        </w:tc>
        <w:tc>
          <w:tcPr>
            <w:tcW w:w="1846" w:type="dxa"/>
            <w:shd w:val="clear" w:color="auto" w:fill="auto"/>
            <w:vAlign w:val="center"/>
          </w:tcPr>
          <w:p>
            <w:pPr>
              <w:spacing w:line="240" w:lineRule="auto"/>
              <w:jc w:val="center"/>
              <w:rPr>
                <w:sz w:val="22"/>
              </w:rPr>
            </w:pPr>
            <w:r>
              <w:rPr>
                <w:rFonts w:hint="eastAsia"/>
                <w:sz w:val="22"/>
              </w:rPr>
              <w:t>车床</w:t>
            </w:r>
          </w:p>
        </w:tc>
        <w:tc>
          <w:tcPr>
            <w:tcW w:w="1420" w:type="dxa"/>
            <w:shd w:val="clear" w:color="auto" w:fill="auto"/>
            <w:vAlign w:val="center"/>
          </w:tcPr>
          <w:p>
            <w:pPr>
              <w:spacing w:line="240" w:lineRule="auto"/>
              <w:jc w:val="center"/>
              <w:rPr>
                <w:sz w:val="22"/>
              </w:rPr>
            </w:pPr>
            <w:r>
              <w:rPr>
                <w:bCs/>
                <w:sz w:val="22"/>
              </w:rPr>
              <w:t>CW6180E</w:t>
            </w:r>
            <w:r>
              <w:rPr>
                <w:rFonts w:hint="eastAsia"/>
                <w:bCs/>
                <w:sz w:val="22"/>
              </w:rPr>
              <w:t>、</w:t>
            </w:r>
            <w:r>
              <w:rPr>
                <w:rStyle w:val="122"/>
                <w:rFonts w:eastAsia="MingLiU"/>
                <w:b w:val="0"/>
                <w:sz w:val="22"/>
                <w:szCs w:val="22"/>
                <w:lang w:eastAsia="zh-TW"/>
              </w:rPr>
              <w:t>CA6150</w:t>
            </w:r>
            <w:r>
              <w:rPr>
                <w:rStyle w:val="122"/>
                <w:rFonts w:hint="eastAsia" w:eastAsiaTheme="minorEastAsia"/>
                <w:b w:val="0"/>
                <w:sz w:val="22"/>
                <w:szCs w:val="22"/>
              </w:rPr>
              <w:t>、</w:t>
            </w:r>
            <w:r>
              <w:rPr>
                <w:rStyle w:val="122"/>
                <w:rFonts w:eastAsia="MingLiU"/>
                <w:b w:val="0"/>
                <w:sz w:val="22"/>
                <w:szCs w:val="22"/>
                <w:lang w:eastAsia="zh-TW"/>
              </w:rPr>
              <w:t>CY6140</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3</w:t>
            </w:r>
          </w:p>
        </w:tc>
        <w:tc>
          <w:tcPr>
            <w:tcW w:w="994" w:type="dxa"/>
            <w:tcBorders>
              <w:right w:val="single" w:color="auto" w:sz="6" w:space="0"/>
            </w:tcBorders>
            <w:vAlign w:val="center"/>
          </w:tcPr>
          <w:p>
            <w:pPr>
              <w:spacing w:line="240" w:lineRule="auto"/>
              <w:jc w:val="center"/>
              <w:rPr>
                <w:sz w:val="22"/>
              </w:rPr>
            </w:pPr>
            <w:r>
              <w:rPr>
                <w:rFonts w:hint="eastAsia"/>
                <w:sz w:val="22"/>
              </w:rPr>
              <w:t>3</w:t>
            </w:r>
          </w:p>
        </w:tc>
        <w:tc>
          <w:tcPr>
            <w:tcW w:w="1136" w:type="dxa"/>
            <w:tcBorders>
              <w:left w:val="single" w:color="auto" w:sz="6" w:space="0"/>
            </w:tcBorders>
            <w:vAlign w:val="center"/>
          </w:tcPr>
          <w:p>
            <w:pPr>
              <w:jc w:val="cente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16</w:t>
            </w:r>
          </w:p>
        </w:tc>
        <w:tc>
          <w:tcPr>
            <w:tcW w:w="1846" w:type="dxa"/>
            <w:shd w:val="clear" w:color="auto" w:fill="auto"/>
            <w:vAlign w:val="center"/>
          </w:tcPr>
          <w:p>
            <w:pPr>
              <w:spacing w:line="240" w:lineRule="auto"/>
              <w:jc w:val="center"/>
              <w:rPr>
                <w:sz w:val="22"/>
              </w:rPr>
            </w:pPr>
            <w:r>
              <w:rPr>
                <w:rFonts w:hint="eastAsia"/>
                <w:sz w:val="22"/>
              </w:rPr>
              <w:t>牛头刨床</w:t>
            </w:r>
          </w:p>
        </w:tc>
        <w:tc>
          <w:tcPr>
            <w:tcW w:w="1420" w:type="dxa"/>
            <w:shd w:val="clear" w:color="auto" w:fill="auto"/>
            <w:vAlign w:val="center"/>
          </w:tcPr>
          <w:p>
            <w:pPr>
              <w:spacing w:line="240" w:lineRule="auto"/>
              <w:jc w:val="center"/>
              <w:rPr>
                <w:sz w:val="22"/>
              </w:rPr>
            </w:pPr>
            <w:r>
              <w:rPr>
                <w:sz w:val="22"/>
              </w:rPr>
              <w:t>B</w:t>
            </w:r>
            <w:r>
              <w:rPr>
                <w:rFonts w:hint="eastAsia"/>
                <w:sz w:val="22"/>
              </w:rPr>
              <w:t>6066</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jc w:val="cente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17</w:t>
            </w:r>
          </w:p>
        </w:tc>
        <w:tc>
          <w:tcPr>
            <w:tcW w:w="1846" w:type="dxa"/>
            <w:shd w:val="clear" w:color="auto" w:fill="auto"/>
            <w:vAlign w:val="center"/>
          </w:tcPr>
          <w:p>
            <w:pPr>
              <w:spacing w:line="240" w:lineRule="auto"/>
              <w:jc w:val="center"/>
              <w:rPr>
                <w:sz w:val="22"/>
              </w:rPr>
            </w:pPr>
            <w:r>
              <w:rPr>
                <w:rFonts w:hint="eastAsia"/>
                <w:sz w:val="22"/>
              </w:rPr>
              <w:t>升降台铣床</w:t>
            </w:r>
          </w:p>
        </w:tc>
        <w:tc>
          <w:tcPr>
            <w:tcW w:w="1420" w:type="dxa"/>
            <w:shd w:val="clear" w:color="auto" w:fill="auto"/>
            <w:vAlign w:val="center"/>
          </w:tcPr>
          <w:p>
            <w:pPr>
              <w:spacing w:line="240" w:lineRule="auto"/>
              <w:jc w:val="center"/>
              <w:rPr>
                <w:sz w:val="22"/>
              </w:rPr>
            </w:pPr>
            <w:r>
              <w:rPr>
                <w:sz w:val="22"/>
              </w:rPr>
              <w:t>X</w:t>
            </w:r>
            <w:r>
              <w:rPr>
                <w:rFonts w:hint="eastAsia"/>
                <w:sz w:val="22"/>
              </w:rPr>
              <w:t>63W/1</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1</w:t>
            </w:r>
          </w:p>
        </w:tc>
        <w:tc>
          <w:tcPr>
            <w:tcW w:w="994" w:type="dxa"/>
            <w:tcBorders>
              <w:right w:val="single" w:color="auto" w:sz="6" w:space="0"/>
            </w:tcBorders>
            <w:vAlign w:val="center"/>
          </w:tcPr>
          <w:p>
            <w:pPr>
              <w:spacing w:line="240" w:lineRule="auto"/>
              <w:jc w:val="center"/>
              <w:rPr>
                <w:sz w:val="22"/>
              </w:rPr>
            </w:pPr>
            <w:r>
              <w:rPr>
                <w:rFonts w:hint="eastAsia"/>
                <w:sz w:val="22"/>
              </w:rPr>
              <w:t>2</w:t>
            </w:r>
          </w:p>
        </w:tc>
        <w:tc>
          <w:tcPr>
            <w:tcW w:w="1136" w:type="dxa"/>
            <w:tcBorders>
              <w:left w:val="single" w:color="auto" w:sz="6" w:space="0"/>
            </w:tcBorders>
            <w:vAlign w:val="center"/>
          </w:tcPr>
          <w:p>
            <w:pPr>
              <w:spacing w:line="240" w:lineRule="auto"/>
              <w:jc w:val="center"/>
              <w:rPr>
                <w:sz w:val="22"/>
              </w:rPr>
            </w:pPr>
            <w:r>
              <w:rPr>
                <w:rFonts w:hint="eastAsia"/>
                <w:sz w:val="22"/>
              </w:rPr>
              <w:t>否</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18</w:t>
            </w:r>
          </w:p>
        </w:tc>
        <w:tc>
          <w:tcPr>
            <w:tcW w:w="1846" w:type="dxa"/>
            <w:shd w:val="clear" w:color="auto" w:fill="auto"/>
            <w:vAlign w:val="center"/>
          </w:tcPr>
          <w:p>
            <w:pPr>
              <w:spacing w:line="240" w:lineRule="auto"/>
              <w:jc w:val="center"/>
              <w:rPr>
                <w:sz w:val="22"/>
              </w:rPr>
            </w:pPr>
            <w:r>
              <w:rPr>
                <w:rFonts w:hint="eastAsia"/>
                <w:sz w:val="22"/>
              </w:rPr>
              <w:t>钻床</w:t>
            </w:r>
          </w:p>
        </w:tc>
        <w:tc>
          <w:tcPr>
            <w:tcW w:w="1420" w:type="dxa"/>
            <w:shd w:val="clear" w:color="auto" w:fill="auto"/>
            <w:vAlign w:val="center"/>
          </w:tcPr>
          <w:p>
            <w:pPr>
              <w:spacing w:line="240" w:lineRule="auto"/>
              <w:jc w:val="center"/>
              <w:rPr>
                <w:sz w:val="22"/>
              </w:rPr>
            </w:pPr>
            <w:r>
              <w:rPr>
                <w:rStyle w:val="122"/>
                <w:rFonts w:eastAsia="MingLiU"/>
                <w:b w:val="0"/>
                <w:sz w:val="22"/>
                <w:szCs w:val="22"/>
                <w:lang w:eastAsia="zh-TW"/>
              </w:rPr>
              <w:t>CY6140</w:t>
            </w:r>
            <w:r>
              <w:rPr>
                <w:rStyle w:val="122"/>
                <w:rFonts w:hint="eastAsia" w:eastAsiaTheme="minorEastAsia"/>
                <w:b w:val="0"/>
                <w:sz w:val="22"/>
                <w:szCs w:val="22"/>
              </w:rPr>
              <w:t>/</w:t>
            </w:r>
            <w:r>
              <w:rPr>
                <w:rStyle w:val="74"/>
                <w:rFonts w:eastAsia="MingLiU"/>
                <w:sz w:val="22"/>
                <w:szCs w:val="22"/>
              </w:rPr>
              <w:t xml:space="preserve"> </w:t>
            </w:r>
            <w:r>
              <w:rPr>
                <w:rStyle w:val="122"/>
                <w:rFonts w:eastAsia="MingLiU"/>
                <w:b w:val="0"/>
                <w:sz w:val="22"/>
                <w:szCs w:val="22"/>
              </w:rPr>
              <w:t>Z3080X25B</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3</w:t>
            </w:r>
          </w:p>
        </w:tc>
        <w:tc>
          <w:tcPr>
            <w:tcW w:w="994" w:type="dxa"/>
            <w:tcBorders>
              <w:right w:val="single" w:color="auto" w:sz="6" w:space="0"/>
            </w:tcBorders>
            <w:vAlign w:val="center"/>
          </w:tcPr>
          <w:p>
            <w:pPr>
              <w:spacing w:line="240" w:lineRule="auto"/>
              <w:jc w:val="center"/>
              <w:rPr>
                <w:sz w:val="22"/>
              </w:rPr>
            </w:pPr>
            <w:r>
              <w:rPr>
                <w:rFonts w:hint="eastAsia"/>
                <w:sz w:val="22"/>
              </w:rPr>
              <w:t>2</w:t>
            </w:r>
          </w:p>
        </w:tc>
        <w:tc>
          <w:tcPr>
            <w:tcW w:w="1136" w:type="dxa"/>
            <w:tcBorders>
              <w:left w:val="single" w:color="auto" w:sz="6" w:space="0"/>
            </w:tcBorders>
            <w:vAlign w:val="center"/>
          </w:tcPr>
          <w:p>
            <w:pPr>
              <w:spacing w:line="240" w:lineRule="auto"/>
              <w:jc w:val="center"/>
              <w:rPr>
                <w:sz w:val="22"/>
              </w:rPr>
            </w:pPr>
            <w:r>
              <w:rPr>
                <w:rFonts w:hint="eastAsia"/>
                <w:sz w:val="22"/>
              </w:rPr>
              <w:t>否</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19</w:t>
            </w:r>
          </w:p>
        </w:tc>
        <w:tc>
          <w:tcPr>
            <w:tcW w:w="1846" w:type="dxa"/>
            <w:shd w:val="clear" w:color="auto" w:fill="auto"/>
            <w:vAlign w:val="center"/>
          </w:tcPr>
          <w:p>
            <w:pPr>
              <w:spacing w:line="240" w:lineRule="auto"/>
              <w:jc w:val="center"/>
              <w:rPr>
                <w:sz w:val="22"/>
              </w:rPr>
            </w:pPr>
            <w:r>
              <w:rPr>
                <w:rFonts w:hint="eastAsia"/>
                <w:sz w:val="22"/>
              </w:rPr>
              <w:t>小型铣床</w:t>
            </w:r>
          </w:p>
        </w:tc>
        <w:tc>
          <w:tcPr>
            <w:tcW w:w="1420" w:type="dxa"/>
            <w:shd w:val="clear" w:color="auto" w:fill="auto"/>
            <w:vAlign w:val="center"/>
          </w:tcPr>
          <w:p>
            <w:pPr>
              <w:spacing w:line="240" w:lineRule="auto"/>
              <w:jc w:val="center"/>
              <w:rPr>
                <w:sz w:val="22"/>
              </w:rPr>
            </w:pPr>
            <w:r>
              <w:rPr>
                <w:sz w:val="22"/>
              </w:rPr>
              <w:t>X</w:t>
            </w:r>
            <w:r>
              <w:rPr>
                <w:rFonts w:hint="eastAsia"/>
                <w:sz w:val="22"/>
              </w:rPr>
              <w:t>1514B</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2</w:t>
            </w:r>
          </w:p>
        </w:tc>
        <w:tc>
          <w:tcPr>
            <w:tcW w:w="994" w:type="dxa"/>
            <w:tcBorders>
              <w:right w:val="single" w:color="auto" w:sz="6" w:space="0"/>
            </w:tcBorders>
            <w:vAlign w:val="center"/>
          </w:tcPr>
          <w:p>
            <w:pPr>
              <w:spacing w:line="240" w:lineRule="auto"/>
              <w:jc w:val="center"/>
              <w:rPr>
                <w:sz w:val="22"/>
              </w:rPr>
            </w:pPr>
            <w:r>
              <w:rPr>
                <w:rFonts w:hint="eastAsia"/>
                <w:sz w:val="22"/>
              </w:rPr>
              <w:t>0</w:t>
            </w:r>
          </w:p>
        </w:tc>
        <w:tc>
          <w:tcPr>
            <w:tcW w:w="1136" w:type="dxa"/>
            <w:tcBorders>
              <w:left w:val="single" w:color="auto" w:sz="6" w:space="0"/>
            </w:tcBorders>
            <w:vAlign w:val="center"/>
          </w:tcPr>
          <w:p>
            <w:pPr>
              <w:spacing w:line="240" w:lineRule="auto"/>
              <w:jc w:val="center"/>
              <w:rPr>
                <w:sz w:val="22"/>
              </w:rPr>
            </w:pPr>
            <w:r>
              <w:rPr>
                <w:rFonts w:hint="eastAsia"/>
                <w:sz w:val="22"/>
              </w:rPr>
              <w:t>否</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20</w:t>
            </w:r>
          </w:p>
        </w:tc>
        <w:tc>
          <w:tcPr>
            <w:tcW w:w="1846" w:type="dxa"/>
            <w:shd w:val="clear" w:color="auto" w:fill="auto"/>
            <w:vAlign w:val="center"/>
          </w:tcPr>
          <w:p>
            <w:pPr>
              <w:spacing w:line="240" w:lineRule="auto"/>
              <w:jc w:val="center"/>
              <w:rPr>
                <w:sz w:val="22"/>
              </w:rPr>
            </w:pPr>
            <w:r>
              <w:rPr>
                <w:rFonts w:hint="eastAsia"/>
                <w:sz w:val="22"/>
              </w:rPr>
              <w:t>台式钻铣床</w:t>
            </w:r>
          </w:p>
        </w:tc>
        <w:tc>
          <w:tcPr>
            <w:tcW w:w="1420" w:type="dxa"/>
            <w:shd w:val="clear" w:color="auto" w:fill="auto"/>
            <w:vAlign w:val="center"/>
          </w:tcPr>
          <w:p>
            <w:pPr>
              <w:spacing w:line="240" w:lineRule="auto"/>
              <w:jc w:val="center"/>
              <w:rPr>
                <w:sz w:val="22"/>
              </w:rPr>
            </w:pPr>
            <w:r>
              <w:rPr>
                <w:rFonts w:hint="eastAsia"/>
                <w:sz w:val="22"/>
              </w:rPr>
              <w:t>ZX7016</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w:t>
            </w:r>
          </w:p>
        </w:tc>
        <w:tc>
          <w:tcPr>
            <w:tcW w:w="994" w:type="dxa"/>
            <w:tcBorders>
              <w:right w:val="single" w:color="auto" w:sz="6" w:space="0"/>
            </w:tcBorders>
            <w:vAlign w:val="center"/>
          </w:tcPr>
          <w:p>
            <w:pPr>
              <w:spacing w:line="240" w:lineRule="auto"/>
              <w:jc w:val="center"/>
              <w:rPr>
                <w:sz w:val="22"/>
              </w:rPr>
            </w:pPr>
            <w:r>
              <w:rPr>
                <w:rFonts w:hint="eastAsia"/>
                <w:sz w:val="22"/>
              </w:rPr>
              <w:t>1</w:t>
            </w:r>
          </w:p>
        </w:tc>
        <w:tc>
          <w:tcPr>
            <w:tcW w:w="1136" w:type="dxa"/>
            <w:tcBorders>
              <w:left w:val="single" w:color="auto" w:sz="6" w:space="0"/>
            </w:tcBorders>
            <w:vAlign w:val="center"/>
          </w:tcPr>
          <w:p>
            <w:pPr>
              <w:spacing w:line="240" w:lineRule="auto"/>
              <w:jc w:val="center"/>
              <w:rPr>
                <w:sz w:val="22"/>
              </w:rPr>
            </w:pPr>
            <w:r>
              <w:rPr>
                <w:rFonts w:hint="eastAsia"/>
                <w:sz w:val="22"/>
              </w:rPr>
              <w:t>否</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95" w:type="dxa"/>
            <w:vMerge w:val="continue"/>
            <w:vAlign w:val="center"/>
          </w:tcPr>
          <w:p>
            <w:pPr>
              <w:spacing w:line="240" w:lineRule="auto"/>
              <w:jc w:val="center"/>
              <w:rPr>
                <w:sz w:val="22"/>
              </w:rPr>
            </w:pPr>
          </w:p>
        </w:tc>
        <w:tc>
          <w:tcPr>
            <w:tcW w:w="817" w:type="dxa"/>
            <w:shd w:val="clear" w:color="auto" w:fill="auto"/>
            <w:vAlign w:val="center"/>
          </w:tcPr>
          <w:p>
            <w:pPr>
              <w:spacing w:line="240" w:lineRule="auto"/>
              <w:jc w:val="center"/>
              <w:rPr>
                <w:sz w:val="22"/>
              </w:rPr>
            </w:pPr>
            <w:r>
              <w:rPr>
                <w:rFonts w:hint="eastAsia"/>
                <w:sz w:val="22"/>
              </w:rPr>
              <w:t>21</w:t>
            </w:r>
          </w:p>
        </w:tc>
        <w:tc>
          <w:tcPr>
            <w:tcW w:w="1846" w:type="dxa"/>
            <w:shd w:val="clear" w:color="auto" w:fill="auto"/>
            <w:vAlign w:val="center"/>
          </w:tcPr>
          <w:p>
            <w:pPr>
              <w:spacing w:line="240" w:lineRule="auto"/>
              <w:jc w:val="center"/>
              <w:rPr>
                <w:sz w:val="22"/>
              </w:rPr>
            </w:pPr>
            <w:r>
              <w:rPr>
                <w:rFonts w:hint="eastAsia"/>
                <w:sz w:val="22"/>
              </w:rPr>
              <w:t>航吊</w:t>
            </w:r>
          </w:p>
        </w:tc>
        <w:tc>
          <w:tcPr>
            <w:tcW w:w="1420" w:type="dxa"/>
            <w:shd w:val="clear" w:color="auto" w:fill="auto"/>
            <w:vAlign w:val="center"/>
          </w:tcPr>
          <w:p>
            <w:pPr>
              <w:spacing w:line="240" w:lineRule="auto"/>
              <w:jc w:val="center"/>
              <w:rPr>
                <w:sz w:val="22"/>
              </w:rPr>
            </w:pPr>
            <w:r>
              <w:rPr>
                <w:rFonts w:hint="eastAsia"/>
                <w:sz w:val="22"/>
              </w:rPr>
              <w:t>16吨、10吨</w:t>
            </w:r>
          </w:p>
        </w:tc>
        <w:tc>
          <w:tcPr>
            <w:tcW w:w="994" w:type="dxa"/>
            <w:shd w:val="clear" w:color="auto" w:fill="auto"/>
            <w:vAlign w:val="center"/>
          </w:tcPr>
          <w:p>
            <w:pPr>
              <w:spacing w:line="240" w:lineRule="auto"/>
              <w:jc w:val="center"/>
              <w:rPr>
                <w:sz w:val="22"/>
              </w:rPr>
            </w:pPr>
            <w:r>
              <w:rPr>
                <w:rFonts w:hint="eastAsia"/>
                <w:sz w:val="22"/>
              </w:rPr>
              <w:t>台</w:t>
            </w:r>
          </w:p>
        </w:tc>
        <w:tc>
          <w:tcPr>
            <w:tcW w:w="994" w:type="dxa"/>
            <w:shd w:val="clear" w:color="auto" w:fill="auto"/>
            <w:vAlign w:val="center"/>
          </w:tcPr>
          <w:p>
            <w:pPr>
              <w:spacing w:line="240" w:lineRule="auto"/>
              <w:jc w:val="center"/>
              <w:rPr>
                <w:sz w:val="22"/>
              </w:rPr>
            </w:pPr>
            <w:r>
              <w:rPr>
                <w:rFonts w:hint="eastAsia"/>
                <w:sz w:val="22"/>
              </w:rPr>
              <w:t>2</w:t>
            </w:r>
          </w:p>
        </w:tc>
        <w:tc>
          <w:tcPr>
            <w:tcW w:w="994" w:type="dxa"/>
            <w:tcBorders>
              <w:right w:val="single" w:color="auto" w:sz="6" w:space="0"/>
            </w:tcBorders>
            <w:vAlign w:val="center"/>
          </w:tcPr>
          <w:p>
            <w:pPr>
              <w:spacing w:line="240" w:lineRule="auto"/>
              <w:jc w:val="center"/>
              <w:rPr>
                <w:sz w:val="22"/>
              </w:rPr>
            </w:pPr>
            <w:r>
              <w:rPr>
                <w:rFonts w:hint="eastAsia"/>
                <w:sz w:val="22"/>
              </w:rPr>
              <w:t>2</w:t>
            </w:r>
          </w:p>
        </w:tc>
        <w:tc>
          <w:tcPr>
            <w:tcW w:w="1136" w:type="dxa"/>
            <w:tcBorders>
              <w:left w:val="single" w:color="auto" w:sz="6" w:space="0"/>
            </w:tcBorders>
            <w:vAlign w:val="center"/>
          </w:tcPr>
          <w:p>
            <w:pPr>
              <w:spacing w:line="240" w:lineRule="auto"/>
              <w:jc w:val="center"/>
              <w:rPr>
                <w:sz w:val="22"/>
              </w:rPr>
            </w:pPr>
            <w:r>
              <w:rPr>
                <w:rFonts w:hint="eastAsia"/>
                <w:sz w:val="22"/>
              </w:rPr>
              <w:t>是</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196" w:type="dxa"/>
            <w:gridSpan w:val="8"/>
          </w:tcPr>
          <w:p>
            <w:pPr>
              <w:spacing w:line="240" w:lineRule="auto"/>
              <w:ind w:left="990" w:hanging="990" w:hangingChars="450"/>
              <w:rPr>
                <w:sz w:val="22"/>
              </w:rPr>
            </w:pPr>
            <w:r>
              <w:rPr>
                <w:rFonts w:hint="eastAsia"/>
                <w:sz w:val="22"/>
              </w:rPr>
              <w:t>备注：1、该项目石膏贴面板切割锯共2台，其中一套为异型切割锯，仅当客户有特殊要求时使用；</w:t>
            </w:r>
          </w:p>
          <w:p>
            <w:pPr>
              <w:spacing w:line="240" w:lineRule="auto"/>
              <w:ind w:firstLine="660" w:firstLineChars="300"/>
              <w:rPr>
                <w:sz w:val="22"/>
              </w:rPr>
            </w:pPr>
            <w:r>
              <w:rPr>
                <w:rFonts w:hint="eastAsia"/>
                <w:sz w:val="22"/>
              </w:rPr>
              <w:t>2、该项目生产规模不发生变化，未增加新的污染物，不属于重大变更。</w:t>
            </w:r>
          </w:p>
        </w:tc>
      </w:tr>
    </w:tbl>
    <w:p>
      <w:pPr>
        <w:pStyle w:val="3"/>
        <w:spacing w:before="70" w:after="70"/>
      </w:pPr>
      <w:r>
        <w:t>3.</w:t>
      </w:r>
      <w:r>
        <w:rPr>
          <w:rFonts w:hint="eastAsia"/>
        </w:rPr>
        <w:t>3 主要原辅材料及燃料</w:t>
      </w:r>
      <w:bookmarkEnd w:id="32"/>
    </w:p>
    <w:p>
      <w:pPr>
        <w:ind w:firstLine="520" w:firstLineChars="200"/>
      </w:pPr>
      <w:r>
        <w:rPr>
          <w:rFonts w:hint="eastAsia"/>
        </w:rPr>
        <w:t>该</w:t>
      </w:r>
      <w:r>
        <w:t>项目</w:t>
      </w:r>
      <w:r>
        <w:rPr>
          <w:rFonts w:hint="eastAsia"/>
        </w:rPr>
        <w:t>原辅材料</w:t>
      </w:r>
      <w:r>
        <w:t>见表3.</w:t>
      </w:r>
      <w:r>
        <w:rPr>
          <w:rFonts w:hint="eastAsia"/>
        </w:rPr>
        <w:t>3</w:t>
      </w:r>
      <w:r>
        <w:t>-</w:t>
      </w:r>
      <w:r>
        <w:rPr>
          <w:rFonts w:hint="eastAsia"/>
        </w:rPr>
        <w:t>1</w:t>
      </w:r>
      <w:r>
        <w:t>。</w:t>
      </w:r>
    </w:p>
    <w:p>
      <w:pPr>
        <w:pStyle w:val="49"/>
        <w:spacing w:beforeLines="0" w:line="240" w:lineRule="auto"/>
      </w:pPr>
      <w:r>
        <w:t>表3.</w:t>
      </w:r>
      <w:r>
        <w:rPr>
          <w:rFonts w:hint="eastAsia"/>
        </w:rPr>
        <w:t>3</w:t>
      </w:r>
      <w:r>
        <w:t>-</w:t>
      </w:r>
      <w:r>
        <w:rPr>
          <w:rFonts w:hint="eastAsia"/>
        </w:rPr>
        <w:t>1原辅材料</w:t>
      </w:r>
      <w:r>
        <w:t>一览表</w:t>
      </w:r>
    </w:p>
    <w:tbl>
      <w:tblPr>
        <w:tblStyle w:val="48"/>
        <w:tblW w:w="867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710"/>
        <w:gridCol w:w="1565"/>
        <w:gridCol w:w="1564"/>
        <w:gridCol w:w="1991"/>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Align w:val="center"/>
          </w:tcPr>
          <w:p>
            <w:pPr>
              <w:spacing w:line="240" w:lineRule="auto"/>
              <w:jc w:val="center"/>
              <w:rPr>
                <w:rFonts w:hAnsi="宋体"/>
                <w:bCs/>
                <w:sz w:val="22"/>
              </w:rPr>
            </w:pPr>
            <w:r>
              <w:rPr>
                <w:rFonts w:hint="eastAsia" w:hAnsi="宋体"/>
                <w:bCs/>
                <w:sz w:val="22"/>
              </w:rPr>
              <w:t>生产产品</w:t>
            </w:r>
          </w:p>
        </w:tc>
        <w:tc>
          <w:tcPr>
            <w:tcW w:w="710" w:type="dxa"/>
            <w:vAlign w:val="center"/>
          </w:tcPr>
          <w:p>
            <w:pPr>
              <w:spacing w:line="240" w:lineRule="auto"/>
              <w:jc w:val="center"/>
              <w:rPr>
                <w:rFonts w:hAnsi="宋体"/>
                <w:bCs/>
                <w:sz w:val="22"/>
              </w:rPr>
            </w:pPr>
            <w:r>
              <w:rPr>
                <w:rFonts w:hint="eastAsia" w:hAnsi="宋体"/>
                <w:bCs/>
                <w:sz w:val="22"/>
              </w:rPr>
              <w:t>序号</w:t>
            </w:r>
          </w:p>
        </w:tc>
        <w:tc>
          <w:tcPr>
            <w:tcW w:w="1565" w:type="dxa"/>
            <w:vAlign w:val="center"/>
          </w:tcPr>
          <w:p>
            <w:pPr>
              <w:spacing w:line="240" w:lineRule="auto"/>
              <w:jc w:val="center"/>
              <w:rPr>
                <w:rFonts w:hAnsi="宋体"/>
                <w:bCs/>
                <w:sz w:val="22"/>
              </w:rPr>
            </w:pPr>
            <w:r>
              <w:rPr>
                <w:rFonts w:hint="eastAsia" w:hAnsi="宋体"/>
                <w:bCs/>
                <w:sz w:val="22"/>
              </w:rPr>
              <w:t>名称</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年用量</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验收监测</w:t>
            </w:r>
            <w:r>
              <w:rPr>
                <w:rFonts w:hAnsi="宋体"/>
                <w:bCs/>
                <w:sz w:val="22"/>
              </w:rPr>
              <w:t>期间消耗量</w:t>
            </w:r>
            <w:r>
              <w:rPr>
                <w:rFonts w:hint="eastAsia" w:hAnsi="宋体"/>
                <w:bCs/>
                <w:sz w:val="22"/>
              </w:rPr>
              <w:t>（2天）</w:t>
            </w:r>
          </w:p>
        </w:tc>
        <w:tc>
          <w:tcPr>
            <w:tcW w:w="1992" w:type="dxa"/>
            <w:vAlign w:val="center"/>
          </w:tcPr>
          <w:p>
            <w:pPr>
              <w:spacing w:line="240" w:lineRule="auto"/>
              <w:jc w:val="center"/>
              <w:rPr>
                <w:rFonts w:hAnsi="宋体"/>
                <w:bCs/>
                <w:sz w:val="22"/>
              </w:rPr>
            </w:pPr>
            <w:r>
              <w:rPr>
                <w:rFonts w:hint="eastAsia" w:hAnsi="宋体"/>
                <w:bCs/>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54" w:type="dxa"/>
            <w:vMerge w:val="restart"/>
            <w:vAlign w:val="center"/>
          </w:tcPr>
          <w:p>
            <w:pPr>
              <w:spacing w:line="240" w:lineRule="auto"/>
              <w:jc w:val="center"/>
              <w:rPr>
                <w:rFonts w:hAnsi="宋体"/>
                <w:bCs/>
                <w:sz w:val="22"/>
              </w:rPr>
            </w:pPr>
            <w:r>
              <w:rPr>
                <w:rFonts w:hint="eastAsia" w:hAnsi="宋体"/>
                <w:bCs/>
                <w:sz w:val="22"/>
              </w:rPr>
              <w:t>贴面石膏板</w:t>
            </w:r>
          </w:p>
        </w:tc>
        <w:tc>
          <w:tcPr>
            <w:tcW w:w="710" w:type="dxa"/>
            <w:vAlign w:val="center"/>
          </w:tcPr>
          <w:p>
            <w:pPr>
              <w:spacing w:line="240" w:lineRule="auto"/>
              <w:jc w:val="center"/>
              <w:rPr>
                <w:rFonts w:hAnsi="宋体"/>
                <w:bCs/>
                <w:sz w:val="22"/>
              </w:rPr>
            </w:pPr>
            <w:r>
              <w:rPr>
                <w:rFonts w:hint="eastAsia" w:hAnsi="宋体"/>
                <w:bCs/>
                <w:sz w:val="22"/>
              </w:rPr>
              <w:t>1</w:t>
            </w:r>
          </w:p>
        </w:tc>
        <w:tc>
          <w:tcPr>
            <w:tcW w:w="1565" w:type="dxa"/>
            <w:vAlign w:val="center"/>
          </w:tcPr>
          <w:p>
            <w:pPr>
              <w:spacing w:line="240" w:lineRule="auto"/>
              <w:jc w:val="center"/>
              <w:rPr>
                <w:sz w:val="22"/>
              </w:rPr>
            </w:pPr>
            <w:r>
              <w:rPr>
                <w:rFonts w:hint="eastAsia"/>
                <w:sz w:val="22"/>
              </w:rPr>
              <w:t>纸面石膏板</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28万m</w:t>
            </w:r>
            <w:r>
              <w:rPr>
                <w:rFonts w:hint="eastAsia" w:hAnsi="宋体"/>
                <w:bCs/>
                <w:sz w:val="22"/>
                <w:vertAlign w:val="superscript"/>
              </w:rPr>
              <w:t>2</w:t>
            </w:r>
            <w:r>
              <w:rPr>
                <w:rFonts w:hint="eastAsia" w:hAnsi="宋体"/>
                <w:bCs/>
                <w:sz w:val="22"/>
              </w:rPr>
              <w: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1650 m</w:t>
            </w:r>
            <w:r>
              <w:rPr>
                <w:rFonts w:hint="eastAsia" w:hAnsi="宋体"/>
                <w:bCs/>
                <w:sz w:val="22"/>
                <w:vertAlign w:val="superscript"/>
              </w:rPr>
              <w:t>2</w:t>
            </w:r>
          </w:p>
        </w:tc>
        <w:tc>
          <w:tcPr>
            <w:tcW w:w="1992" w:type="dxa"/>
            <w:vAlign w:val="center"/>
          </w:tcPr>
          <w:p>
            <w:pPr>
              <w:spacing w:line="240" w:lineRule="auto"/>
              <w:jc w:val="center"/>
              <w:rPr>
                <w:rFonts w:hAnsi="宋体"/>
                <w:bCs/>
                <w:sz w:val="22"/>
              </w:rPr>
            </w:pPr>
            <w:r>
              <w:rPr>
                <w:rFonts w:hint="eastAsia" w:hAnsi="宋体"/>
                <w:bCs/>
                <w:sz w:val="22"/>
              </w:rPr>
              <w:t>规格：2.4m×1.2m×9mm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2</w:t>
            </w:r>
          </w:p>
        </w:tc>
        <w:tc>
          <w:tcPr>
            <w:tcW w:w="1565" w:type="dxa"/>
            <w:vAlign w:val="center"/>
          </w:tcPr>
          <w:p>
            <w:pPr>
              <w:spacing w:line="240" w:lineRule="auto"/>
              <w:jc w:val="center"/>
              <w:rPr>
                <w:sz w:val="22"/>
              </w:rPr>
            </w:pPr>
            <w:r>
              <w:rPr>
                <w:rFonts w:hint="eastAsia"/>
                <w:sz w:val="22"/>
              </w:rPr>
              <w:t>铝箔</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15t/a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0.078t</w:t>
            </w:r>
          </w:p>
        </w:tc>
        <w:tc>
          <w:tcPr>
            <w:tcW w:w="1992" w:type="dxa"/>
            <w:vAlign w:val="center"/>
          </w:tcPr>
          <w:p>
            <w:pPr>
              <w:spacing w:line="240" w:lineRule="auto"/>
              <w:jc w:val="center"/>
              <w:rPr>
                <w:sz w:val="22"/>
              </w:rPr>
            </w:pPr>
            <w:r>
              <w:rPr>
                <w:rFonts w:hint="eastAsia"/>
                <w:sz w:val="22"/>
              </w:rPr>
              <w:t>用于纸面石膏板底面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3</w:t>
            </w:r>
          </w:p>
        </w:tc>
        <w:tc>
          <w:tcPr>
            <w:tcW w:w="1565" w:type="dxa"/>
            <w:vAlign w:val="center"/>
          </w:tcPr>
          <w:p>
            <w:pPr>
              <w:spacing w:line="240" w:lineRule="auto"/>
              <w:jc w:val="center"/>
              <w:rPr>
                <w:sz w:val="22"/>
              </w:rPr>
            </w:pPr>
            <w:r>
              <w:rPr>
                <w:rFonts w:hint="eastAsia"/>
                <w:sz w:val="22"/>
              </w:rPr>
              <w:t>PVC膜</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30万m/a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1650m</w:t>
            </w:r>
          </w:p>
        </w:tc>
        <w:tc>
          <w:tcPr>
            <w:tcW w:w="1992" w:type="dxa"/>
            <w:vAlign w:val="center"/>
          </w:tcPr>
          <w:p>
            <w:pPr>
              <w:spacing w:line="240" w:lineRule="auto"/>
              <w:jc w:val="center"/>
              <w:rPr>
                <w:sz w:val="22"/>
              </w:rPr>
            </w:pPr>
            <w:r>
              <w:rPr>
                <w:rFonts w:hint="eastAsia"/>
                <w:sz w:val="22"/>
              </w:rPr>
              <w:t>用于纸面石膏板正面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4</w:t>
            </w:r>
          </w:p>
        </w:tc>
        <w:tc>
          <w:tcPr>
            <w:tcW w:w="1565" w:type="dxa"/>
            <w:vAlign w:val="center"/>
          </w:tcPr>
          <w:p>
            <w:pPr>
              <w:spacing w:line="240" w:lineRule="auto"/>
              <w:jc w:val="center"/>
              <w:rPr>
                <w:sz w:val="22"/>
              </w:rPr>
            </w:pPr>
            <w:r>
              <w:rPr>
                <w:rFonts w:hint="eastAsia"/>
                <w:sz w:val="22"/>
              </w:rPr>
              <w:t>白乳胶</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18t/a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0.095t</w:t>
            </w:r>
          </w:p>
        </w:tc>
        <w:tc>
          <w:tcPr>
            <w:tcW w:w="1992" w:type="dxa"/>
            <w:vAlign w:val="center"/>
          </w:tcPr>
          <w:p>
            <w:pPr>
              <w:spacing w:line="240" w:lineRule="auto"/>
              <w:jc w:val="center"/>
              <w:rPr>
                <w:sz w:val="22"/>
              </w:rPr>
            </w:pPr>
            <w:r>
              <w:rPr>
                <w:rFonts w:hint="eastAsia"/>
                <w:sz w:val="22"/>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5</w:t>
            </w:r>
          </w:p>
        </w:tc>
        <w:tc>
          <w:tcPr>
            <w:tcW w:w="1565" w:type="dxa"/>
            <w:vAlign w:val="center"/>
          </w:tcPr>
          <w:p>
            <w:pPr>
              <w:spacing w:line="240" w:lineRule="auto"/>
              <w:jc w:val="center"/>
              <w:rPr>
                <w:sz w:val="22"/>
              </w:rPr>
            </w:pPr>
            <w:r>
              <w:rPr>
                <w:rFonts w:hint="eastAsia"/>
                <w:sz w:val="22"/>
              </w:rPr>
              <w:t>胶带</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5万m/a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287m</w:t>
            </w:r>
          </w:p>
        </w:tc>
        <w:tc>
          <w:tcPr>
            <w:tcW w:w="1992" w:type="dxa"/>
            <w:vMerge w:val="restart"/>
            <w:vAlign w:val="center"/>
          </w:tcPr>
          <w:p>
            <w:pPr>
              <w:spacing w:line="240" w:lineRule="auto"/>
              <w:jc w:val="center"/>
              <w:rPr>
                <w:rFonts w:hAnsi="宋体"/>
                <w:bCs/>
                <w:sz w:val="22"/>
              </w:rPr>
            </w:pPr>
            <w:r>
              <w:rPr>
                <w:rFonts w:hint="eastAsia" w:hAnsi="宋体"/>
                <w:bCs/>
                <w:sz w:val="22"/>
              </w:rPr>
              <w:t>包装用材料，均为外购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6</w:t>
            </w:r>
          </w:p>
        </w:tc>
        <w:tc>
          <w:tcPr>
            <w:tcW w:w="1565" w:type="dxa"/>
            <w:vAlign w:val="center"/>
          </w:tcPr>
          <w:p>
            <w:pPr>
              <w:spacing w:line="240" w:lineRule="auto"/>
              <w:jc w:val="center"/>
              <w:rPr>
                <w:sz w:val="22"/>
              </w:rPr>
            </w:pPr>
            <w:r>
              <w:rPr>
                <w:rFonts w:hint="eastAsia"/>
                <w:sz w:val="22"/>
              </w:rPr>
              <w:t>包装条</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7.8万根/a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420根</w:t>
            </w:r>
          </w:p>
        </w:tc>
        <w:tc>
          <w:tcPr>
            <w:tcW w:w="1992" w:type="dxa"/>
            <w:vMerge w:val="continue"/>
            <w:vAlign w:val="center"/>
          </w:tcPr>
          <w:p>
            <w:pPr>
              <w:spacing w:line="240" w:lineRule="auto"/>
              <w:jc w:val="center"/>
              <w:rPr>
                <w:rFonts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7</w:t>
            </w:r>
          </w:p>
        </w:tc>
        <w:tc>
          <w:tcPr>
            <w:tcW w:w="1565" w:type="dxa"/>
            <w:vAlign w:val="center"/>
          </w:tcPr>
          <w:p>
            <w:pPr>
              <w:spacing w:line="240" w:lineRule="auto"/>
              <w:jc w:val="center"/>
              <w:rPr>
                <w:sz w:val="22"/>
              </w:rPr>
            </w:pPr>
            <w:r>
              <w:rPr>
                <w:rFonts w:hint="eastAsia"/>
                <w:sz w:val="22"/>
              </w:rPr>
              <w:t>包装膜</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6t/a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0.033t</w:t>
            </w:r>
          </w:p>
        </w:tc>
        <w:tc>
          <w:tcPr>
            <w:tcW w:w="1992" w:type="dxa"/>
            <w:vMerge w:val="continue"/>
            <w:vAlign w:val="center"/>
          </w:tcPr>
          <w:p>
            <w:pPr>
              <w:spacing w:line="240" w:lineRule="auto"/>
              <w:jc w:val="center"/>
              <w:rPr>
                <w:rFonts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8</w:t>
            </w:r>
          </w:p>
        </w:tc>
        <w:tc>
          <w:tcPr>
            <w:tcW w:w="1565" w:type="dxa"/>
            <w:vAlign w:val="center"/>
          </w:tcPr>
          <w:p>
            <w:pPr>
              <w:spacing w:line="240" w:lineRule="auto"/>
              <w:jc w:val="center"/>
              <w:rPr>
                <w:sz w:val="22"/>
              </w:rPr>
            </w:pPr>
            <w:r>
              <w:rPr>
                <w:rFonts w:hint="eastAsia"/>
                <w:sz w:val="22"/>
              </w:rPr>
              <w:t>包装箱</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7.8万个/a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420个</w:t>
            </w:r>
          </w:p>
        </w:tc>
        <w:tc>
          <w:tcPr>
            <w:tcW w:w="1992" w:type="dxa"/>
            <w:vMerge w:val="continue"/>
            <w:vAlign w:val="center"/>
          </w:tcPr>
          <w:p>
            <w:pPr>
              <w:spacing w:line="240" w:lineRule="auto"/>
              <w:jc w:val="center"/>
              <w:rPr>
                <w:rFonts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restart"/>
            <w:vAlign w:val="center"/>
          </w:tcPr>
          <w:p>
            <w:pPr>
              <w:spacing w:line="240" w:lineRule="auto"/>
              <w:jc w:val="center"/>
              <w:rPr>
                <w:rFonts w:hAnsi="宋体"/>
                <w:bCs/>
                <w:sz w:val="22"/>
              </w:rPr>
            </w:pPr>
            <w:r>
              <w:rPr>
                <w:rFonts w:hint="eastAsia" w:hAnsi="宋体"/>
                <w:bCs/>
                <w:sz w:val="22"/>
              </w:rPr>
              <w:t>石膏线条</w:t>
            </w:r>
          </w:p>
        </w:tc>
        <w:tc>
          <w:tcPr>
            <w:tcW w:w="710" w:type="dxa"/>
            <w:vAlign w:val="center"/>
          </w:tcPr>
          <w:p>
            <w:pPr>
              <w:spacing w:line="240" w:lineRule="auto"/>
              <w:jc w:val="center"/>
              <w:rPr>
                <w:rFonts w:hAnsi="宋体"/>
                <w:bCs/>
                <w:sz w:val="22"/>
              </w:rPr>
            </w:pPr>
            <w:r>
              <w:rPr>
                <w:rFonts w:hint="eastAsia" w:hAnsi="宋体"/>
                <w:bCs/>
                <w:sz w:val="22"/>
              </w:rPr>
              <w:t>9</w:t>
            </w:r>
          </w:p>
        </w:tc>
        <w:tc>
          <w:tcPr>
            <w:tcW w:w="1565" w:type="dxa"/>
            <w:vAlign w:val="center"/>
          </w:tcPr>
          <w:p>
            <w:pPr>
              <w:spacing w:line="240" w:lineRule="auto"/>
              <w:jc w:val="center"/>
              <w:rPr>
                <w:sz w:val="22"/>
              </w:rPr>
            </w:pPr>
            <w:r>
              <w:rPr>
                <w:rFonts w:hint="eastAsia"/>
                <w:sz w:val="22"/>
              </w:rPr>
              <w:t>石膏粉</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1600t/a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8.8t</w:t>
            </w:r>
          </w:p>
        </w:tc>
        <w:tc>
          <w:tcPr>
            <w:tcW w:w="1992" w:type="dxa"/>
            <w:vAlign w:val="center"/>
          </w:tcPr>
          <w:p>
            <w:pPr>
              <w:spacing w:line="240" w:lineRule="auto"/>
              <w:jc w:val="center"/>
              <w:rPr>
                <w:rFonts w:hAnsi="宋体"/>
                <w:bCs/>
                <w:sz w:val="22"/>
              </w:rPr>
            </w:pPr>
            <w:r>
              <w:rPr>
                <w:rFonts w:hint="eastAsia" w:hAnsi="宋体"/>
                <w:bCs/>
                <w:sz w:val="22"/>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10</w:t>
            </w:r>
          </w:p>
        </w:tc>
        <w:tc>
          <w:tcPr>
            <w:tcW w:w="1565" w:type="dxa"/>
            <w:vAlign w:val="center"/>
          </w:tcPr>
          <w:p>
            <w:pPr>
              <w:spacing w:line="240" w:lineRule="auto"/>
              <w:jc w:val="center"/>
              <w:rPr>
                <w:sz w:val="22"/>
              </w:rPr>
            </w:pPr>
            <w:r>
              <w:rPr>
                <w:rFonts w:hint="eastAsia"/>
                <w:sz w:val="22"/>
              </w:rPr>
              <w:t>网格布</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30万m/a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1650m</w:t>
            </w:r>
          </w:p>
        </w:tc>
        <w:tc>
          <w:tcPr>
            <w:tcW w:w="1992" w:type="dxa"/>
            <w:vAlign w:val="center"/>
          </w:tcPr>
          <w:p>
            <w:pPr>
              <w:spacing w:line="240" w:lineRule="auto"/>
              <w:jc w:val="center"/>
              <w:rPr>
                <w:rFonts w:hAnsi="宋体"/>
                <w:bCs/>
                <w:sz w:val="22"/>
              </w:rPr>
            </w:pPr>
            <w:r>
              <w:rPr>
                <w:rFonts w:hint="eastAsia" w:hAnsi="宋体"/>
                <w:bCs/>
                <w:sz w:val="22"/>
              </w:rPr>
              <w:t>外购，储存于原料库内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11</w:t>
            </w:r>
          </w:p>
        </w:tc>
        <w:tc>
          <w:tcPr>
            <w:tcW w:w="1565" w:type="dxa"/>
            <w:vAlign w:val="center"/>
          </w:tcPr>
          <w:p>
            <w:pPr>
              <w:spacing w:line="240" w:lineRule="auto"/>
              <w:jc w:val="center"/>
              <w:rPr>
                <w:sz w:val="22"/>
              </w:rPr>
            </w:pPr>
            <w:r>
              <w:rPr>
                <w:rFonts w:hint="eastAsia"/>
                <w:sz w:val="22"/>
              </w:rPr>
              <w:t>玻璃纤维</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0.2t/a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1.07kg</w:t>
            </w:r>
          </w:p>
        </w:tc>
        <w:tc>
          <w:tcPr>
            <w:tcW w:w="1992" w:type="dxa"/>
            <w:vAlign w:val="center"/>
          </w:tcPr>
          <w:p>
            <w:pPr>
              <w:jc w:val="center"/>
            </w:pPr>
            <w:r>
              <w:rPr>
                <w:rFonts w:hint="eastAsia" w:hAnsi="宋体"/>
                <w:bCs/>
                <w:sz w:val="22"/>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12</w:t>
            </w:r>
          </w:p>
        </w:tc>
        <w:tc>
          <w:tcPr>
            <w:tcW w:w="1565" w:type="dxa"/>
            <w:vAlign w:val="center"/>
          </w:tcPr>
          <w:p>
            <w:pPr>
              <w:spacing w:line="240" w:lineRule="auto"/>
              <w:jc w:val="center"/>
              <w:rPr>
                <w:sz w:val="22"/>
              </w:rPr>
            </w:pPr>
            <w:r>
              <w:rPr>
                <w:rFonts w:hint="eastAsia"/>
                <w:sz w:val="22"/>
              </w:rPr>
              <w:t>包装膜</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3t/a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15.5kg</w:t>
            </w:r>
          </w:p>
        </w:tc>
        <w:tc>
          <w:tcPr>
            <w:tcW w:w="1992" w:type="dxa"/>
            <w:vAlign w:val="center"/>
          </w:tcPr>
          <w:p>
            <w:pPr>
              <w:jc w:val="center"/>
            </w:pPr>
            <w:r>
              <w:rPr>
                <w:rFonts w:hint="eastAsia" w:hAnsi="宋体"/>
                <w:bCs/>
                <w:sz w:val="22"/>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restart"/>
            <w:vAlign w:val="center"/>
          </w:tcPr>
          <w:p>
            <w:pPr>
              <w:spacing w:line="240" w:lineRule="auto"/>
              <w:jc w:val="center"/>
              <w:rPr>
                <w:rFonts w:hAnsi="宋体"/>
                <w:bCs/>
                <w:sz w:val="22"/>
              </w:rPr>
            </w:pPr>
            <w:r>
              <w:rPr>
                <w:rFonts w:hint="eastAsia" w:hAnsi="宋体"/>
                <w:bCs/>
                <w:sz w:val="22"/>
              </w:rPr>
              <w:t>机械设备</w:t>
            </w:r>
          </w:p>
        </w:tc>
        <w:tc>
          <w:tcPr>
            <w:tcW w:w="710" w:type="dxa"/>
            <w:vAlign w:val="center"/>
          </w:tcPr>
          <w:p>
            <w:pPr>
              <w:spacing w:line="240" w:lineRule="auto"/>
              <w:jc w:val="center"/>
              <w:rPr>
                <w:rFonts w:hAnsi="宋体"/>
                <w:bCs/>
                <w:sz w:val="22"/>
              </w:rPr>
            </w:pPr>
            <w:r>
              <w:rPr>
                <w:rFonts w:hint="eastAsia" w:hAnsi="宋体"/>
                <w:bCs/>
                <w:sz w:val="22"/>
              </w:rPr>
              <w:t>13</w:t>
            </w:r>
          </w:p>
        </w:tc>
        <w:tc>
          <w:tcPr>
            <w:tcW w:w="1565" w:type="dxa"/>
            <w:vAlign w:val="center"/>
          </w:tcPr>
          <w:p>
            <w:pPr>
              <w:spacing w:line="240" w:lineRule="auto"/>
              <w:jc w:val="center"/>
              <w:rPr>
                <w:sz w:val="22"/>
              </w:rPr>
            </w:pPr>
            <w:r>
              <w:rPr>
                <w:rFonts w:hint="eastAsia"/>
                <w:sz w:val="22"/>
              </w:rPr>
              <w:t>各类钢材</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80t/a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0.41t</w:t>
            </w:r>
          </w:p>
        </w:tc>
        <w:tc>
          <w:tcPr>
            <w:tcW w:w="1992" w:type="dxa"/>
            <w:vAlign w:val="center"/>
          </w:tcPr>
          <w:p>
            <w:pPr>
              <w:jc w:val="center"/>
            </w:pPr>
            <w:r>
              <w:rPr>
                <w:rFonts w:hint="eastAsia" w:hAnsi="宋体"/>
                <w:bCs/>
                <w:sz w:val="22"/>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14</w:t>
            </w:r>
          </w:p>
        </w:tc>
        <w:tc>
          <w:tcPr>
            <w:tcW w:w="1565" w:type="dxa"/>
            <w:vAlign w:val="center"/>
          </w:tcPr>
          <w:p>
            <w:pPr>
              <w:spacing w:line="240" w:lineRule="auto"/>
              <w:jc w:val="center"/>
              <w:rPr>
                <w:sz w:val="22"/>
              </w:rPr>
            </w:pPr>
            <w:r>
              <w:rPr>
                <w:rFonts w:hint="eastAsia"/>
                <w:sz w:val="22"/>
              </w:rPr>
              <w:t>焊丝</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0.15t/a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0.78kg</w:t>
            </w:r>
          </w:p>
        </w:tc>
        <w:tc>
          <w:tcPr>
            <w:tcW w:w="1992" w:type="dxa"/>
            <w:vAlign w:val="center"/>
          </w:tcPr>
          <w:p>
            <w:pPr>
              <w:jc w:val="center"/>
            </w:pPr>
            <w:r>
              <w:rPr>
                <w:rFonts w:hint="eastAsia" w:hAnsi="宋体"/>
                <w:bCs/>
                <w:sz w:val="22"/>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15</w:t>
            </w:r>
          </w:p>
        </w:tc>
        <w:tc>
          <w:tcPr>
            <w:tcW w:w="1565" w:type="dxa"/>
            <w:vAlign w:val="center"/>
          </w:tcPr>
          <w:p>
            <w:pPr>
              <w:spacing w:line="240" w:lineRule="auto"/>
              <w:jc w:val="center"/>
              <w:rPr>
                <w:sz w:val="22"/>
              </w:rPr>
            </w:pPr>
            <w:r>
              <w:rPr>
                <w:rFonts w:hint="eastAsia"/>
                <w:sz w:val="22"/>
              </w:rPr>
              <w:t>各类配件</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30套/a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0（主要进行配件生产，未进行组装）</w:t>
            </w:r>
          </w:p>
        </w:tc>
        <w:tc>
          <w:tcPr>
            <w:tcW w:w="1992" w:type="dxa"/>
            <w:vAlign w:val="center"/>
          </w:tcPr>
          <w:p>
            <w:pPr>
              <w:spacing w:line="240" w:lineRule="auto"/>
              <w:jc w:val="center"/>
              <w:rPr>
                <w:rFonts w:hAnsi="宋体"/>
                <w:bCs/>
                <w:sz w:val="22"/>
              </w:rPr>
            </w:pPr>
            <w:r>
              <w:rPr>
                <w:rFonts w:hint="eastAsia" w:hAnsi="宋体"/>
                <w:bCs/>
                <w:sz w:val="22"/>
              </w:rPr>
              <w:t>主要包括电机、轴承、光电探头、胶辊、毛刷、链条、各型号电池、气缸、变频器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16</w:t>
            </w:r>
          </w:p>
        </w:tc>
        <w:tc>
          <w:tcPr>
            <w:tcW w:w="1565" w:type="dxa"/>
            <w:vAlign w:val="center"/>
          </w:tcPr>
          <w:p>
            <w:pPr>
              <w:spacing w:line="240" w:lineRule="auto"/>
              <w:jc w:val="center"/>
              <w:rPr>
                <w:sz w:val="22"/>
              </w:rPr>
            </w:pPr>
            <w:r>
              <w:rPr>
                <w:rFonts w:hint="eastAsia"/>
                <w:sz w:val="22"/>
              </w:rPr>
              <w:t>液压油</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0.1t/a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0</w:t>
            </w:r>
          </w:p>
        </w:tc>
        <w:tc>
          <w:tcPr>
            <w:tcW w:w="1992" w:type="dxa"/>
            <w:vAlign w:val="center"/>
          </w:tcPr>
          <w:p>
            <w:pPr>
              <w:spacing w:line="240" w:lineRule="auto"/>
              <w:jc w:val="center"/>
              <w:rPr>
                <w:rFonts w:hAnsi="宋体"/>
                <w:bCs/>
                <w:sz w:val="22"/>
              </w:rPr>
            </w:pPr>
            <w:r>
              <w:rPr>
                <w:rFonts w:hint="eastAsia" w:hAnsi="宋体"/>
                <w:bCs/>
                <w:sz w:val="22"/>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854" w:type="dxa"/>
            <w:vMerge w:val="continue"/>
            <w:vAlign w:val="center"/>
          </w:tcPr>
          <w:p>
            <w:pPr>
              <w:spacing w:line="240" w:lineRule="auto"/>
              <w:jc w:val="center"/>
              <w:rPr>
                <w:rFonts w:hAnsi="宋体"/>
                <w:bCs/>
                <w:sz w:val="22"/>
              </w:rPr>
            </w:pPr>
          </w:p>
        </w:tc>
        <w:tc>
          <w:tcPr>
            <w:tcW w:w="710" w:type="dxa"/>
            <w:vAlign w:val="center"/>
          </w:tcPr>
          <w:p>
            <w:pPr>
              <w:spacing w:line="240" w:lineRule="auto"/>
              <w:jc w:val="center"/>
              <w:rPr>
                <w:rFonts w:hAnsi="宋体"/>
                <w:bCs/>
                <w:sz w:val="22"/>
              </w:rPr>
            </w:pPr>
            <w:r>
              <w:rPr>
                <w:rFonts w:hint="eastAsia" w:hAnsi="宋体"/>
                <w:bCs/>
                <w:sz w:val="22"/>
              </w:rPr>
              <w:t>17</w:t>
            </w:r>
          </w:p>
        </w:tc>
        <w:tc>
          <w:tcPr>
            <w:tcW w:w="1565" w:type="dxa"/>
            <w:vAlign w:val="center"/>
          </w:tcPr>
          <w:p>
            <w:pPr>
              <w:spacing w:line="240" w:lineRule="auto"/>
              <w:jc w:val="center"/>
              <w:rPr>
                <w:sz w:val="22"/>
              </w:rPr>
            </w:pPr>
            <w:r>
              <w:rPr>
                <w:rFonts w:hint="eastAsia"/>
                <w:sz w:val="22"/>
              </w:rPr>
              <w:t>切削液</w:t>
            </w:r>
          </w:p>
        </w:tc>
        <w:tc>
          <w:tcPr>
            <w:tcW w:w="1564" w:type="dxa"/>
            <w:tcBorders>
              <w:right w:val="single" w:color="auto" w:sz="6" w:space="0"/>
            </w:tcBorders>
            <w:vAlign w:val="center"/>
          </w:tcPr>
          <w:p>
            <w:pPr>
              <w:spacing w:line="240" w:lineRule="auto"/>
              <w:jc w:val="center"/>
              <w:rPr>
                <w:rFonts w:hAnsi="宋体"/>
                <w:bCs/>
                <w:sz w:val="22"/>
              </w:rPr>
            </w:pPr>
            <w:r>
              <w:rPr>
                <w:rFonts w:hint="eastAsia" w:hAnsi="宋体"/>
                <w:bCs/>
                <w:sz w:val="22"/>
              </w:rPr>
              <w:t>0.05t/a</w:t>
            </w:r>
          </w:p>
        </w:tc>
        <w:tc>
          <w:tcPr>
            <w:tcW w:w="1991" w:type="dxa"/>
            <w:tcBorders>
              <w:left w:val="single" w:color="auto" w:sz="6" w:space="0"/>
            </w:tcBorders>
            <w:vAlign w:val="center"/>
          </w:tcPr>
          <w:p>
            <w:pPr>
              <w:spacing w:line="240" w:lineRule="auto"/>
              <w:jc w:val="center"/>
              <w:rPr>
                <w:rFonts w:hAnsi="宋体"/>
                <w:bCs/>
                <w:sz w:val="22"/>
              </w:rPr>
            </w:pPr>
            <w:r>
              <w:rPr>
                <w:rFonts w:hint="eastAsia" w:hAnsi="宋体"/>
                <w:bCs/>
                <w:sz w:val="22"/>
              </w:rPr>
              <w:t>0</w:t>
            </w:r>
          </w:p>
        </w:tc>
        <w:tc>
          <w:tcPr>
            <w:tcW w:w="1992" w:type="dxa"/>
            <w:vAlign w:val="center"/>
          </w:tcPr>
          <w:p>
            <w:pPr>
              <w:spacing w:line="240" w:lineRule="auto"/>
              <w:jc w:val="center"/>
              <w:rPr>
                <w:rFonts w:hAnsi="宋体"/>
                <w:bCs/>
                <w:sz w:val="22"/>
              </w:rPr>
            </w:pPr>
            <w:r>
              <w:rPr>
                <w:rFonts w:hint="eastAsia" w:hAnsi="宋体"/>
                <w:bCs/>
                <w:sz w:val="22"/>
              </w:rPr>
              <w:t>外购</w:t>
            </w:r>
          </w:p>
        </w:tc>
      </w:tr>
      <w:bookmarkEnd w:id="33"/>
      <w:bookmarkEnd w:id="34"/>
    </w:tbl>
    <w:p>
      <w:pPr>
        <w:spacing w:beforeLines="100"/>
        <w:ind w:firstLine="520" w:firstLineChars="200"/>
      </w:pPr>
      <w:r>
        <w:rPr>
          <w:rFonts w:hint="eastAsia"/>
        </w:rPr>
        <w:t>（2）该项目使用电能作为动力，不使用燃煤、天然气等。供暖由空调供暖</w:t>
      </w:r>
      <w:r>
        <w:t>。</w:t>
      </w:r>
      <w:r>
        <w:rPr>
          <w:rFonts w:hint="eastAsia"/>
        </w:rPr>
        <w:t>项目年用电量约17万度，由罗西街道供电所供电提供。</w:t>
      </w:r>
    </w:p>
    <w:p>
      <w:pPr>
        <w:pStyle w:val="3"/>
        <w:spacing w:before="70" w:after="70"/>
      </w:pPr>
      <w:bookmarkStart w:id="35" w:name="_Toc502699359"/>
      <w:r>
        <w:t>3.</w:t>
      </w:r>
      <w:r>
        <w:rPr>
          <w:rFonts w:hint="eastAsia"/>
        </w:rPr>
        <w:t>4 水源及水平衡</w:t>
      </w:r>
      <w:bookmarkEnd w:id="35"/>
    </w:p>
    <w:p>
      <w:pPr>
        <w:ind w:firstLine="520"/>
        <w:rPr>
          <w:sz w:val="24"/>
          <w:szCs w:val="24"/>
        </w:rPr>
      </w:pPr>
      <w:r>
        <w:rPr>
          <w:rFonts w:hint="eastAsia"/>
          <w:sz w:val="24"/>
          <w:szCs w:val="24"/>
        </w:rPr>
        <w:t>1、</w:t>
      </w:r>
      <w:r>
        <w:rPr>
          <w:sz w:val="24"/>
          <w:szCs w:val="24"/>
        </w:rPr>
        <w:t>给水</w:t>
      </w:r>
      <w:r>
        <w:rPr>
          <w:rFonts w:hint="eastAsia"/>
          <w:sz w:val="24"/>
          <w:szCs w:val="24"/>
        </w:rPr>
        <w:t>：该项目用水由自备井水提供，</w:t>
      </w:r>
      <w:r>
        <w:rPr>
          <w:rFonts w:eastAsia="宋体"/>
          <w:sz w:val="24"/>
          <w:szCs w:val="24"/>
          <w:lang w:val="zh-TW"/>
        </w:rPr>
        <w:t>项目用水环节主要为职工生活用水和石膏粉搅拌用水以及石膏线条模具清洗补充水</w:t>
      </w:r>
      <w:r>
        <w:rPr>
          <w:rFonts w:hint="eastAsia"/>
          <w:sz w:val="24"/>
          <w:szCs w:val="24"/>
        </w:rPr>
        <w:t>，</w:t>
      </w:r>
      <w:r>
        <w:rPr>
          <w:rFonts w:eastAsia="宋体"/>
          <w:sz w:val="24"/>
          <w:szCs w:val="24"/>
        </w:rPr>
        <w:t>一次水年用量为</w:t>
      </w:r>
      <w:r>
        <w:rPr>
          <w:rStyle w:val="122"/>
          <w:rFonts w:hint="eastAsia" w:eastAsiaTheme="minorEastAsia"/>
          <w:b w:val="0"/>
          <w:sz w:val="24"/>
          <w:szCs w:val="24"/>
        </w:rPr>
        <w:t>1550</w:t>
      </w:r>
      <w:r>
        <w:rPr>
          <w:rStyle w:val="122"/>
          <w:rFonts w:eastAsia="MingLiU"/>
          <w:b w:val="0"/>
          <w:sz w:val="24"/>
          <w:szCs w:val="24"/>
        </w:rPr>
        <w:t>m</w:t>
      </w:r>
      <w:r>
        <w:rPr>
          <w:rStyle w:val="122"/>
          <w:rFonts w:eastAsia="MingLiU"/>
          <w:b w:val="0"/>
          <w:sz w:val="24"/>
          <w:szCs w:val="24"/>
          <w:vertAlign w:val="superscript"/>
        </w:rPr>
        <w:t>3</w:t>
      </w:r>
      <w:r>
        <w:rPr>
          <w:rStyle w:val="122"/>
          <w:rFonts w:eastAsia="MingLiU"/>
          <w:b w:val="0"/>
          <w:sz w:val="24"/>
          <w:szCs w:val="24"/>
        </w:rPr>
        <w:t>/a</w:t>
      </w:r>
      <w:r>
        <w:rPr>
          <w:rFonts w:eastAsia="宋体"/>
          <w:b/>
          <w:sz w:val="24"/>
          <w:szCs w:val="24"/>
        </w:rPr>
        <w:t>。</w:t>
      </w:r>
    </w:p>
    <w:p>
      <w:pPr>
        <w:ind w:firstLine="520"/>
        <w:rPr>
          <w:rFonts w:eastAsia="宋体"/>
          <w:sz w:val="24"/>
          <w:szCs w:val="24"/>
          <w:lang w:val="zh-TW"/>
        </w:rPr>
      </w:pPr>
      <w:r>
        <w:rPr>
          <w:rFonts w:hint="eastAsia" w:ascii="宋体" w:hAnsi="宋体" w:eastAsia="宋体" w:cs="宋体"/>
          <w:sz w:val="24"/>
          <w:szCs w:val="24"/>
          <w:lang w:val="zh-TW"/>
        </w:rPr>
        <w:t>①</w:t>
      </w:r>
      <w:r>
        <w:rPr>
          <w:rFonts w:eastAsia="宋体"/>
          <w:sz w:val="24"/>
          <w:szCs w:val="24"/>
          <w:lang w:val="zh-TW"/>
        </w:rPr>
        <w:t>职工生活用水：根据《建筑给水排水设计规范》</w:t>
      </w:r>
      <w:r>
        <w:rPr>
          <w:rFonts w:eastAsia="宋体"/>
          <w:sz w:val="24"/>
          <w:szCs w:val="24"/>
        </w:rPr>
        <w:t>（GB50015-2010)</w:t>
      </w:r>
      <w:r>
        <w:rPr>
          <w:rFonts w:eastAsia="宋体"/>
          <w:sz w:val="24"/>
          <w:szCs w:val="24"/>
          <w:lang w:val="zh-TW"/>
        </w:rPr>
        <w:t>，生活用水按</w:t>
      </w:r>
      <w:r>
        <w:rPr>
          <w:rFonts w:eastAsia="宋体"/>
          <w:sz w:val="24"/>
          <w:szCs w:val="24"/>
        </w:rPr>
        <w:t>50L/</w:t>
      </w:r>
      <w:r>
        <w:rPr>
          <w:rFonts w:eastAsia="宋体"/>
          <w:sz w:val="24"/>
          <w:szCs w:val="24"/>
          <w:lang w:val="zh-TW"/>
        </w:rPr>
        <w:t>人</w:t>
      </w:r>
      <w:r>
        <w:rPr>
          <w:rFonts w:hint="eastAsia"/>
          <w:sz w:val="24"/>
          <w:szCs w:val="24"/>
        </w:rPr>
        <w:t>/天</w:t>
      </w:r>
      <w:r>
        <w:rPr>
          <w:rFonts w:eastAsia="宋体"/>
          <w:sz w:val="24"/>
          <w:szCs w:val="24"/>
          <w:lang w:val="zh-TW"/>
        </w:rPr>
        <w:t>计，该项目职工人员</w:t>
      </w:r>
      <w:r>
        <w:rPr>
          <w:rFonts w:hint="eastAsia"/>
          <w:sz w:val="24"/>
          <w:szCs w:val="24"/>
          <w:lang w:val="zh-TW"/>
        </w:rPr>
        <w:t>40</w:t>
      </w:r>
      <w:r>
        <w:rPr>
          <w:rFonts w:eastAsia="宋体"/>
          <w:sz w:val="24"/>
          <w:szCs w:val="24"/>
          <w:lang w:val="zh-TW"/>
        </w:rPr>
        <w:t>人，则该项目职工生活日用水量为</w:t>
      </w:r>
      <w:r>
        <w:rPr>
          <w:rFonts w:hint="eastAsia" w:eastAsia="宋体"/>
          <w:sz w:val="24"/>
          <w:szCs w:val="24"/>
        </w:rPr>
        <w:t>2</w:t>
      </w:r>
      <w:r>
        <w:rPr>
          <w:rFonts w:eastAsia="宋体"/>
          <w:sz w:val="24"/>
          <w:szCs w:val="24"/>
        </w:rPr>
        <w:t>m</w:t>
      </w:r>
      <w:r>
        <w:rPr>
          <w:rFonts w:eastAsia="宋体"/>
          <w:sz w:val="24"/>
          <w:szCs w:val="24"/>
          <w:vertAlign w:val="superscript"/>
        </w:rPr>
        <w:t>3</w:t>
      </w:r>
      <w:r>
        <w:rPr>
          <w:rFonts w:eastAsia="宋体"/>
          <w:sz w:val="24"/>
          <w:szCs w:val="24"/>
        </w:rPr>
        <w:t>/d，</w:t>
      </w:r>
      <w:r>
        <w:rPr>
          <w:rFonts w:eastAsia="宋体"/>
          <w:sz w:val="24"/>
          <w:szCs w:val="24"/>
          <w:lang w:val="zh-TW"/>
        </w:rPr>
        <w:t>年用水量为</w:t>
      </w:r>
      <w:r>
        <w:rPr>
          <w:rFonts w:hint="eastAsia" w:eastAsia="宋体"/>
          <w:sz w:val="24"/>
          <w:szCs w:val="24"/>
        </w:rPr>
        <w:t>60</w:t>
      </w:r>
      <w:r>
        <w:rPr>
          <w:rFonts w:eastAsia="宋体"/>
          <w:sz w:val="24"/>
          <w:szCs w:val="24"/>
        </w:rPr>
        <w:t>0m</w:t>
      </w:r>
      <w:r>
        <w:rPr>
          <w:rFonts w:eastAsia="宋体"/>
          <w:sz w:val="24"/>
          <w:szCs w:val="24"/>
          <w:vertAlign w:val="superscript"/>
        </w:rPr>
        <w:t>3</w:t>
      </w:r>
      <w:r>
        <w:rPr>
          <w:rFonts w:eastAsia="宋体"/>
          <w:sz w:val="24"/>
          <w:szCs w:val="24"/>
        </w:rPr>
        <w:t>/a。</w:t>
      </w:r>
    </w:p>
    <w:p>
      <w:pPr>
        <w:ind w:firstLine="520"/>
        <w:rPr>
          <w:rFonts w:eastAsia="宋体"/>
          <w:sz w:val="24"/>
          <w:szCs w:val="24"/>
          <w:lang w:val="zh-TW"/>
        </w:rPr>
      </w:pPr>
      <w:r>
        <w:rPr>
          <w:rFonts w:hint="eastAsia" w:ascii="宋体" w:hAnsi="宋体" w:eastAsia="宋体" w:cs="宋体"/>
          <w:sz w:val="24"/>
          <w:szCs w:val="24"/>
          <w:lang w:val="zh-TW"/>
        </w:rPr>
        <w:t>②</w:t>
      </w:r>
      <w:r>
        <w:rPr>
          <w:rFonts w:eastAsia="宋体"/>
          <w:sz w:val="24"/>
          <w:szCs w:val="24"/>
          <w:lang w:val="zh-TW"/>
        </w:rPr>
        <w:t>石膏粉搅拌用水：根据企业提供资料，石膏粉搅拌过程中与水比例为2:1，该项目石膏粉用量为</w:t>
      </w:r>
      <w:r>
        <w:rPr>
          <w:rFonts w:eastAsia="宋体"/>
          <w:sz w:val="24"/>
          <w:szCs w:val="24"/>
        </w:rPr>
        <w:t>1600t/a，</w:t>
      </w:r>
      <w:r>
        <w:rPr>
          <w:rFonts w:eastAsia="宋体"/>
          <w:sz w:val="24"/>
          <w:szCs w:val="24"/>
          <w:lang w:val="zh-TW"/>
        </w:rPr>
        <w:t>则搅拌用水量为</w:t>
      </w:r>
      <w:r>
        <w:rPr>
          <w:rFonts w:eastAsia="宋体"/>
          <w:sz w:val="24"/>
          <w:szCs w:val="24"/>
        </w:rPr>
        <w:t>800m</w:t>
      </w:r>
      <w:r>
        <w:rPr>
          <w:rFonts w:eastAsia="宋体"/>
          <w:sz w:val="24"/>
          <w:szCs w:val="24"/>
          <w:vertAlign w:val="superscript"/>
        </w:rPr>
        <w:t>3</w:t>
      </w:r>
      <w:r>
        <w:rPr>
          <w:rFonts w:eastAsia="宋体"/>
          <w:sz w:val="24"/>
          <w:szCs w:val="24"/>
        </w:rPr>
        <w:t>/a，</w:t>
      </w:r>
      <w:r>
        <w:rPr>
          <w:rFonts w:eastAsia="宋体"/>
          <w:sz w:val="24"/>
          <w:szCs w:val="24"/>
          <w:lang w:val="zh-TW"/>
        </w:rPr>
        <w:t>该部分水进入产品后自然蒸发，无废水产生。</w:t>
      </w:r>
    </w:p>
    <w:p>
      <w:pPr>
        <w:ind w:firstLine="520"/>
        <w:rPr>
          <w:rFonts w:eastAsia="宋体"/>
          <w:sz w:val="24"/>
          <w:szCs w:val="24"/>
          <w:lang w:val="zh-TW"/>
        </w:rPr>
      </w:pPr>
      <w:r>
        <w:rPr>
          <w:rFonts w:hint="eastAsia" w:ascii="宋体" w:hAnsi="宋体" w:eastAsia="宋体" w:cs="宋体"/>
          <w:sz w:val="24"/>
          <w:szCs w:val="24"/>
          <w:lang w:val="zh-TW"/>
        </w:rPr>
        <w:t>③</w:t>
      </w:r>
      <w:r>
        <w:rPr>
          <w:rFonts w:eastAsia="宋体"/>
          <w:sz w:val="24"/>
          <w:szCs w:val="24"/>
          <w:lang w:val="zh-TW"/>
        </w:rPr>
        <w:t>石膏线条模具清洗补充水：石膏线条生产流水线设有清洗池，在石膏浆灌注前，模具经流水线到清洗池位置时进行清洗，清洗水为循环使用，不外排，日补充量为</w:t>
      </w:r>
      <w:r>
        <w:rPr>
          <w:rFonts w:eastAsia="宋体"/>
          <w:sz w:val="24"/>
          <w:szCs w:val="24"/>
        </w:rPr>
        <w:t>0.5m</w:t>
      </w:r>
      <w:r>
        <w:rPr>
          <w:rFonts w:eastAsia="宋体"/>
          <w:sz w:val="24"/>
          <w:szCs w:val="24"/>
          <w:vertAlign w:val="superscript"/>
        </w:rPr>
        <w:t>3</w:t>
      </w:r>
      <w:r>
        <w:rPr>
          <w:rFonts w:eastAsia="宋体"/>
          <w:sz w:val="24"/>
          <w:szCs w:val="24"/>
        </w:rPr>
        <w:t>/d，</w:t>
      </w:r>
      <w:r>
        <w:rPr>
          <w:rFonts w:eastAsia="宋体"/>
          <w:sz w:val="24"/>
          <w:szCs w:val="24"/>
          <w:lang w:val="zh-TW"/>
        </w:rPr>
        <w:t>年补水量为</w:t>
      </w:r>
      <w:r>
        <w:rPr>
          <w:rFonts w:eastAsia="宋体"/>
          <w:sz w:val="24"/>
          <w:szCs w:val="24"/>
        </w:rPr>
        <w:t>150m</w:t>
      </w:r>
      <w:r>
        <w:rPr>
          <w:rFonts w:eastAsia="宋体"/>
          <w:sz w:val="24"/>
          <w:szCs w:val="24"/>
          <w:vertAlign w:val="superscript"/>
        </w:rPr>
        <w:t>3</w:t>
      </w:r>
      <w:r>
        <w:rPr>
          <w:rFonts w:eastAsia="宋体"/>
          <w:sz w:val="24"/>
          <w:szCs w:val="24"/>
        </w:rPr>
        <w:t>/a。</w:t>
      </w:r>
    </w:p>
    <w:p>
      <w:pPr>
        <w:ind w:firstLine="520"/>
        <w:rPr>
          <w:sz w:val="24"/>
          <w:szCs w:val="24"/>
        </w:rPr>
      </w:pPr>
      <w:r>
        <w:rPr>
          <w:rFonts w:hint="eastAsia"/>
          <w:sz w:val="24"/>
          <w:szCs w:val="24"/>
        </w:rPr>
        <w:t>2、排水：</w:t>
      </w:r>
      <w:r>
        <w:rPr>
          <w:rFonts w:eastAsia="宋体"/>
          <w:sz w:val="24"/>
          <w:szCs w:val="24"/>
          <w:lang w:val="zh-TW"/>
        </w:rPr>
        <w:t>该项目排水采用雨污分流制，雨水单独收集后外排。该项目生产工艺不产生废水，废水主要为生活污水</w:t>
      </w:r>
      <w:r>
        <w:rPr>
          <w:rFonts w:eastAsia="宋体"/>
          <w:sz w:val="24"/>
          <w:szCs w:val="24"/>
        </w:rPr>
        <w:t>，</w:t>
      </w:r>
      <w:r>
        <w:rPr>
          <w:rFonts w:eastAsia="宋体"/>
          <w:sz w:val="24"/>
          <w:szCs w:val="24"/>
          <w:lang w:val="zh-TW"/>
        </w:rPr>
        <w:t>该项目生活污水按用水量的80%进行计算，产生量为</w:t>
      </w:r>
      <w:r>
        <w:rPr>
          <w:rFonts w:hint="eastAsia" w:eastAsia="宋体"/>
          <w:sz w:val="24"/>
          <w:szCs w:val="24"/>
        </w:rPr>
        <w:t>480</w:t>
      </w:r>
      <w:r>
        <w:rPr>
          <w:rFonts w:eastAsia="宋体"/>
          <w:sz w:val="24"/>
          <w:szCs w:val="24"/>
        </w:rPr>
        <w:t>m</w:t>
      </w:r>
      <w:r>
        <w:rPr>
          <w:rFonts w:eastAsia="宋体"/>
          <w:sz w:val="24"/>
          <w:szCs w:val="24"/>
          <w:vertAlign w:val="superscript"/>
        </w:rPr>
        <w:t>3</w:t>
      </w:r>
      <w:r>
        <w:rPr>
          <w:rFonts w:eastAsia="宋体"/>
          <w:sz w:val="24"/>
          <w:szCs w:val="24"/>
        </w:rPr>
        <w:t>/a，</w:t>
      </w:r>
      <w:r>
        <w:rPr>
          <w:rFonts w:eastAsia="宋体"/>
          <w:sz w:val="24"/>
          <w:szCs w:val="24"/>
          <w:lang w:val="zh-TW"/>
        </w:rPr>
        <w:t>经厂区内化粪池处理后外运堆肥。</w:t>
      </w:r>
    </w:p>
    <w:p>
      <w:pPr>
        <w:ind w:firstLine="520"/>
      </w:pPr>
      <w:r>
        <w:rPr>
          <w:rFonts w:hint="eastAsia"/>
        </w:rPr>
        <w:t>3、</w:t>
      </w:r>
      <w:r>
        <w:t>水平衡</w:t>
      </w:r>
    </w:p>
    <w:p>
      <w:pPr>
        <w:ind w:firstLine="520"/>
      </w:pPr>
      <w:r>
        <w:t>该项目水平衡见图3.</w:t>
      </w:r>
      <w:r>
        <w:rPr>
          <w:rFonts w:hint="eastAsia"/>
        </w:rPr>
        <w:t>4</w:t>
      </w:r>
      <w:r>
        <w:t>-1。</w:t>
      </w:r>
    </w:p>
    <w:p>
      <w:pPr>
        <w:ind w:firstLine="197" w:firstLineChars="76"/>
        <w:jc w:val="center"/>
      </w:pPr>
      <w:r>
        <w:object>
          <v:shape id="_x0000_i1026" o:spt="75" type="#_x0000_t75" style="height:168pt;width:372.75pt;" o:ole="t" filled="f" o:preferrelative="t" stroked="f" coordsize="21600,21600">
            <v:path/>
            <v:fill on="f" focussize="0,0"/>
            <v:stroke on="f" joinstyle="miter"/>
            <v:imagedata r:id="rId44" o:title=""/>
            <o:lock v:ext="edit" aspectratio="t"/>
            <w10:wrap type="none"/>
            <w10:anchorlock/>
          </v:shape>
          <o:OLEObject Type="Embed" ProgID="Visio.Drawing.11" ShapeID="_x0000_i1026" DrawAspect="Content" ObjectID="_1468075725" r:id="rId43">
            <o:LockedField>false</o:LockedField>
          </o:OLEObject>
        </w:object>
      </w:r>
    </w:p>
    <w:p>
      <w:pPr>
        <w:pStyle w:val="49"/>
        <w:spacing w:before="177"/>
      </w:pPr>
      <w:r>
        <w:t>图3.</w:t>
      </w:r>
      <w:r>
        <w:rPr>
          <w:rFonts w:hint="eastAsia"/>
        </w:rPr>
        <w:t>4</w:t>
      </w:r>
      <w:r>
        <w:t>-1  水平衡图(m</w:t>
      </w:r>
      <w:r>
        <w:rPr>
          <w:vertAlign w:val="superscript"/>
        </w:rPr>
        <w:t>3</w:t>
      </w:r>
      <w:r>
        <w:t>/a)</w:t>
      </w:r>
    </w:p>
    <w:p>
      <w:pPr>
        <w:pStyle w:val="3"/>
        <w:spacing w:before="70" w:after="70"/>
        <w:rPr>
          <w:color w:val="3E3E3E"/>
        </w:rPr>
      </w:pPr>
      <w:bookmarkStart w:id="36" w:name="_Toc499060198"/>
      <w:bookmarkStart w:id="37" w:name="_Toc502699360"/>
      <w:bookmarkStart w:id="38" w:name="_Toc499059461"/>
      <w:r>
        <w:t>3.</w:t>
      </w:r>
      <w:r>
        <w:rPr>
          <w:rFonts w:hint="eastAsia"/>
        </w:rPr>
        <w:t>5</w:t>
      </w:r>
      <w:r>
        <w:t>生产工艺及产污环节</w:t>
      </w:r>
      <w:bookmarkEnd w:id="36"/>
      <w:bookmarkEnd w:id="37"/>
      <w:bookmarkEnd w:id="38"/>
    </w:p>
    <w:p>
      <w:pPr>
        <w:pStyle w:val="4"/>
        <w:spacing w:before="70"/>
        <w:rPr>
          <w:color w:val="3E3E3E"/>
        </w:rPr>
      </w:pPr>
      <w:r>
        <w:rPr>
          <w:rFonts w:hint="eastAsia"/>
        </w:rPr>
        <w:t>3.5.</w:t>
      </w:r>
      <w:r>
        <w:t>1</w:t>
      </w:r>
      <w:r>
        <w:rPr>
          <w:rFonts w:hint="eastAsia"/>
        </w:rPr>
        <w:t>工艺流程</w:t>
      </w:r>
    </w:p>
    <w:p>
      <w:pPr>
        <w:ind w:firstLine="520" w:firstLineChars="200"/>
        <w:rPr>
          <w:bCs/>
        </w:rPr>
      </w:pPr>
      <w:r>
        <w:rPr>
          <w:rFonts w:hint="eastAsia"/>
          <w:bCs/>
        </w:rPr>
        <w:t>该项目主要生产石膏贴面板、石膏线条和机械设备，项目生产工艺流程简述如下：</w:t>
      </w:r>
    </w:p>
    <w:p>
      <w:pPr>
        <w:rPr>
          <w:bCs/>
        </w:rPr>
      </w:pPr>
      <w:r>
        <w:rPr>
          <w:rFonts w:hint="eastAsia"/>
          <w:bCs/>
        </w:rPr>
        <w:t>1、石膏贴面板生产工艺及产污环节</w:t>
      </w:r>
    </w:p>
    <w:p>
      <w:pPr>
        <w:ind w:firstLine="520"/>
      </w:pPr>
      <w:r>
        <w:rPr>
          <w:rFonts w:hint="eastAsia"/>
          <w:bCs/>
        </w:rPr>
        <w:t>该项目对纸面石膏板进行深加工，主要利用双面贴膜机对纸面石膏板底面贴铝箔、正面贴PVC膜，贴面完成后进行锯切成规格为60cm×60cm石膏贴面板产品，锯切机自动叠板，经包边机包边和包装流水线包装加工成成品，最后由码垛机进行码垛。石膏贴面板生产</w:t>
      </w:r>
      <w:r>
        <w:t>工艺流程及产污环节见图3.5-1。</w:t>
      </w:r>
    </w:p>
    <w:p>
      <w:r>
        <w:rPr>
          <w:rFonts w:hint="eastAsia"/>
          <w:bCs/>
          <w:sz w:val="28"/>
        </w:rPr>
        <w:drawing>
          <wp:inline distT="0" distB="0" distL="0" distR="0">
            <wp:extent cx="5238750" cy="2647950"/>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45" cstate="print"/>
                    <a:srcRect/>
                    <a:stretch>
                      <a:fillRect/>
                    </a:stretch>
                  </pic:blipFill>
                  <pic:spPr>
                    <a:xfrm>
                      <a:off x="0" y="0"/>
                      <a:ext cx="5238750" cy="2647950"/>
                    </a:xfrm>
                    <a:prstGeom prst="rect">
                      <a:avLst/>
                    </a:prstGeom>
                    <a:noFill/>
                    <a:ln w="9525">
                      <a:noFill/>
                      <a:miter lim="800000"/>
                      <a:headEnd/>
                      <a:tailEnd/>
                    </a:ln>
                  </pic:spPr>
                </pic:pic>
              </a:graphicData>
            </a:graphic>
          </wp:inline>
        </w:drawing>
      </w:r>
    </w:p>
    <w:p>
      <w:pPr>
        <w:ind w:firstLine="520"/>
        <w:jc w:val="center"/>
        <w:rPr>
          <w:sz w:val="22"/>
        </w:rPr>
      </w:pPr>
      <w:r>
        <w:rPr>
          <w:sz w:val="22"/>
        </w:rPr>
        <w:t>图3.5-1</w:t>
      </w:r>
      <w:r>
        <w:rPr>
          <w:rFonts w:hint="eastAsia"/>
          <w:bCs/>
          <w:sz w:val="22"/>
        </w:rPr>
        <w:t>石膏贴面板生产</w:t>
      </w:r>
      <w:r>
        <w:rPr>
          <w:sz w:val="22"/>
        </w:rPr>
        <w:t>工艺流程及产污环节</w:t>
      </w:r>
      <w:r>
        <w:rPr>
          <w:rFonts w:hint="eastAsia"/>
          <w:sz w:val="22"/>
        </w:rPr>
        <w:t>图</w:t>
      </w:r>
    </w:p>
    <w:p>
      <w:pPr>
        <w:ind w:firstLine="520" w:firstLineChars="200"/>
        <w:rPr>
          <w:bCs/>
        </w:rPr>
      </w:pPr>
      <w:r>
        <w:rPr>
          <w:rFonts w:hint="eastAsia"/>
          <w:bCs/>
        </w:rPr>
        <w:t>2、石膏线条生产工艺及产污环节</w:t>
      </w:r>
    </w:p>
    <w:p>
      <w:pPr>
        <w:ind w:firstLine="520" w:firstLineChars="200"/>
        <w:rPr>
          <w:bCs/>
        </w:rPr>
      </w:pPr>
      <w:r>
        <w:rPr>
          <w:rFonts w:hint="eastAsia"/>
          <w:bCs/>
        </w:rPr>
        <w:t>该项目将外购石膏粉储存于密闭泵房，用密封绞笼提升至密封漏斗型的储罐中。通过储罐漏斗底部将石膏粉分批分量进入生产线打浆机里，打浆机通过电脑调节粉量和水量进行搅拌、混合，搅拌混合好再自动灌铸到生产线的模具中。</w:t>
      </w:r>
    </w:p>
    <w:p>
      <w:pPr>
        <w:ind w:firstLine="520" w:firstLineChars="200"/>
        <w:rPr>
          <w:bCs/>
        </w:rPr>
      </w:pPr>
      <w:r>
        <w:rPr>
          <w:rFonts w:hint="eastAsia"/>
          <w:bCs/>
        </w:rPr>
        <w:t>石膏线条生产流水线呈“回”字形转动，石膏浆灌铸到生产模具里在生产线上流动。生产流水线上有网格布和玻璃丝加放进石膏浆上面起骨架作用。再用刀具将模与模之间的石膏浆分割，生产流水线通过1-3分钟后，人手将石膏线条从模具取出，模具经流水线到清洗池位置，用循环水清洗，不对外排放，剩余石膏浆渣沉积到池底，等2-3月后形成膏状后从池底取出当废渣处理，石膏线取出后，直接干挂晾干后包装，即得出成品。石膏线条生产</w:t>
      </w:r>
      <w:r>
        <w:rPr>
          <w:rFonts w:hint="eastAsia"/>
        </w:rPr>
        <w:t>工艺流程及产污环节见图3.5-2。</w:t>
      </w:r>
    </w:p>
    <w:p>
      <w:r>
        <w:rPr>
          <w:rFonts w:hint="eastAsia"/>
          <w:bCs/>
          <w:sz w:val="24"/>
          <w:szCs w:val="24"/>
        </w:rPr>
        <w:drawing>
          <wp:inline distT="0" distB="0" distL="0" distR="0">
            <wp:extent cx="5238750" cy="16573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6" cstate="print"/>
                    <a:srcRect/>
                    <a:stretch>
                      <a:fillRect/>
                    </a:stretch>
                  </pic:blipFill>
                  <pic:spPr>
                    <a:xfrm>
                      <a:off x="0" y="0"/>
                      <a:ext cx="5238750" cy="1657350"/>
                    </a:xfrm>
                    <a:prstGeom prst="rect">
                      <a:avLst/>
                    </a:prstGeom>
                    <a:noFill/>
                    <a:ln w="9525">
                      <a:noFill/>
                      <a:miter lim="800000"/>
                      <a:headEnd/>
                      <a:tailEnd/>
                    </a:ln>
                  </pic:spPr>
                </pic:pic>
              </a:graphicData>
            </a:graphic>
          </wp:inline>
        </w:drawing>
      </w:r>
    </w:p>
    <w:p>
      <w:pPr>
        <w:pStyle w:val="49"/>
        <w:spacing w:before="177"/>
      </w:pPr>
      <w:bookmarkStart w:id="39" w:name="_Toc499060200"/>
      <w:bookmarkStart w:id="40" w:name="_Toc499059463"/>
      <w:r>
        <w:t>图3.</w:t>
      </w:r>
      <w:r>
        <w:rPr>
          <w:rFonts w:hint="eastAsia"/>
        </w:rPr>
        <w:t>5</w:t>
      </w:r>
      <w:r>
        <w:t>-</w:t>
      </w:r>
      <w:r>
        <w:rPr>
          <w:rFonts w:hint="eastAsia"/>
        </w:rPr>
        <w:t>2</w:t>
      </w:r>
      <w:r>
        <w:t xml:space="preserve">  </w:t>
      </w:r>
      <w:r>
        <w:rPr>
          <w:rFonts w:hint="eastAsia"/>
          <w:bCs/>
        </w:rPr>
        <w:t>石膏线条生产</w:t>
      </w:r>
      <w:r>
        <w:rPr>
          <w:rFonts w:hint="eastAsia"/>
        </w:rPr>
        <w:t>工艺流程及产污环节图</w:t>
      </w:r>
    </w:p>
    <w:p>
      <w:pPr>
        <w:ind w:firstLine="520" w:firstLineChars="200"/>
        <w:rPr>
          <w:bCs/>
        </w:rPr>
      </w:pPr>
      <w:r>
        <w:rPr>
          <w:rFonts w:hint="eastAsia"/>
          <w:bCs/>
        </w:rPr>
        <w:t>3、机械设备生产工艺及产污环节</w:t>
      </w:r>
    </w:p>
    <w:p>
      <w:pPr>
        <w:ind w:firstLine="520" w:firstLineChars="200"/>
        <w:rPr>
          <w:bCs/>
        </w:rPr>
      </w:pPr>
      <w:r>
        <w:rPr>
          <w:rFonts w:hint="eastAsia"/>
          <w:bCs/>
        </w:rPr>
        <w:t>该项目机械设备主要生产PVC石膏贴面板机械、双面覆膜机、自动切割锯、PVC石膏贴面板包边机、自动打包设备、码垛机、石膏线条设备、石膏板冲空机和各类型包装机等，产量较少。该项目原料为外购的各类钢材利用气割机和切割机等切割成所需要大小，利用铣床和钻床等设备对钢材进行开槽、钻孔等，然后利用焊机将各类钢材焊接到一起，最后将电机、轴承、链条等配件组装在一起，即成成品。机械设备生产</w:t>
      </w:r>
      <w:r>
        <w:rPr>
          <w:rFonts w:hint="eastAsia"/>
        </w:rPr>
        <w:t>工艺流程及产污环节见图3.5.3。</w:t>
      </w:r>
    </w:p>
    <w:p>
      <w:pPr>
        <w:rPr>
          <w:bCs/>
        </w:rPr>
      </w:pPr>
      <w:r>
        <w:rPr>
          <w:bCs/>
          <w:sz w:val="24"/>
          <w:szCs w:val="24"/>
        </w:rPr>
        <w:drawing>
          <wp:inline distT="0" distB="0" distL="0" distR="0">
            <wp:extent cx="5305425" cy="1552575"/>
            <wp:effectExtent l="1905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47" cstate="print"/>
                    <a:srcRect/>
                    <a:stretch>
                      <a:fillRect/>
                    </a:stretch>
                  </pic:blipFill>
                  <pic:spPr>
                    <a:xfrm>
                      <a:off x="0" y="0"/>
                      <a:ext cx="5305425" cy="1552575"/>
                    </a:xfrm>
                    <a:prstGeom prst="rect">
                      <a:avLst/>
                    </a:prstGeom>
                    <a:noFill/>
                    <a:ln w="9525">
                      <a:noFill/>
                      <a:miter lim="800000"/>
                      <a:headEnd/>
                      <a:tailEnd/>
                    </a:ln>
                  </pic:spPr>
                </pic:pic>
              </a:graphicData>
            </a:graphic>
          </wp:inline>
        </w:drawing>
      </w:r>
    </w:p>
    <w:p>
      <w:pPr>
        <w:pStyle w:val="49"/>
        <w:spacing w:before="177"/>
      </w:pPr>
      <w:r>
        <w:t>图3.</w:t>
      </w:r>
      <w:r>
        <w:rPr>
          <w:rFonts w:hint="eastAsia"/>
        </w:rPr>
        <w:t>5</w:t>
      </w:r>
      <w:r>
        <w:t>-</w:t>
      </w:r>
      <w:r>
        <w:rPr>
          <w:rFonts w:hint="eastAsia"/>
        </w:rPr>
        <w:t>3</w:t>
      </w:r>
      <w:r>
        <w:t xml:space="preserve">  </w:t>
      </w:r>
      <w:r>
        <w:rPr>
          <w:rFonts w:hint="eastAsia"/>
          <w:bCs/>
        </w:rPr>
        <w:t>机械设备生产</w:t>
      </w:r>
      <w:r>
        <w:rPr>
          <w:rFonts w:hint="eastAsia"/>
        </w:rPr>
        <w:t>工艺流程及产污环节</w:t>
      </w:r>
    </w:p>
    <w:p>
      <w:pPr>
        <w:pStyle w:val="4"/>
        <w:spacing w:before="70"/>
        <w:rPr>
          <w:color w:val="3E3E3E"/>
        </w:rPr>
      </w:pPr>
      <w:r>
        <w:rPr>
          <w:rFonts w:hint="eastAsia"/>
        </w:rPr>
        <w:t>3.5.2产污环节</w:t>
      </w:r>
    </w:p>
    <w:p>
      <w:pPr>
        <w:ind w:firstLine="510"/>
        <w:rPr>
          <w:rFonts w:asciiTheme="minorEastAsia" w:hAnsiTheme="minorEastAsia"/>
          <w:b/>
        </w:rPr>
      </w:pPr>
      <w:r>
        <w:rPr>
          <w:rFonts w:hint="eastAsia" w:asciiTheme="minorEastAsia" w:hAnsiTheme="minorEastAsia"/>
          <w:b/>
        </w:rPr>
        <w:t>1、废气：</w:t>
      </w:r>
      <w:r>
        <w:rPr>
          <w:rFonts w:hint="eastAsia" w:asciiTheme="minorEastAsia" w:hAnsiTheme="minorEastAsia"/>
          <w:bCs/>
        </w:rPr>
        <w:t>该项目生产过程中使用的生产设备均使用电作为能源，不产生燃料废气，钢材切割及钻孔过程中主要产生铁屑，为大颗粒物质，自然沉降，不产生粉尘。该项目废气污染物主要为纸面石膏板贴面工序产生的非甲烷总烃、贴面石膏板切割工序产生的切割粉尘，石膏线条生产过程中石膏粉筒仓进料粉尘、石膏浆液搅拌工序产生的粉尘，以及机械设备加工过程中钢材焊接工序产生的烟尘。</w:t>
      </w:r>
    </w:p>
    <w:p>
      <w:pPr>
        <w:ind w:firstLine="510"/>
        <w:rPr>
          <w:rFonts w:asciiTheme="minorEastAsia" w:hAnsiTheme="minorEastAsia"/>
        </w:rPr>
      </w:pPr>
      <w:r>
        <w:rPr>
          <w:rFonts w:hint="eastAsia" w:asciiTheme="minorEastAsia" w:hAnsiTheme="minorEastAsia"/>
          <w:b/>
        </w:rPr>
        <w:t>2、废水：</w:t>
      </w:r>
      <w:r>
        <w:rPr>
          <w:rFonts w:hint="eastAsia" w:asciiTheme="minorEastAsia" w:hAnsiTheme="minorEastAsia"/>
        </w:rPr>
        <w:t>该项目石膏粉搅拌用水进入产品后蒸发，石膏线条模具清洗用水循环使用，不外排。该项目废水主要为生活污水。</w:t>
      </w:r>
    </w:p>
    <w:p>
      <w:pPr>
        <w:ind w:firstLine="510"/>
        <w:rPr>
          <w:rFonts w:asciiTheme="minorEastAsia" w:hAnsiTheme="minorEastAsia"/>
          <w:b/>
        </w:rPr>
      </w:pPr>
      <w:r>
        <w:rPr>
          <w:rFonts w:hint="eastAsia" w:asciiTheme="minorEastAsia" w:hAnsiTheme="minorEastAsia"/>
          <w:b/>
        </w:rPr>
        <w:t>3、噪声：</w:t>
      </w:r>
      <w:r>
        <w:rPr>
          <w:rFonts w:hint="eastAsia" w:asciiTheme="minorEastAsia" w:hAnsiTheme="minorEastAsia"/>
        </w:rPr>
        <w:t>该项目噪声主要为双面贴膜机、切割锯、包边机、包装流水线、码垛机、石膏线条生产线、搅拌机、切割机和各类机械加工车床等设备运转产生的噪声。</w:t>
      </w:r>
    </w:p>
    <w:p>
      <w:pPr>
        <w:ind w:firstLine="510"/>
        <w:rPr>
          <w:rFonts w:asciiTheme="minorEastAsia" w:hAnsiTheme="minorEastAsia"/>
        </w:rPr>
      </w:pPr>
      <w:r>
        <w:rPr>
          <w:rFonts w:hint="eastAsia" w:asciiTheme="minorEastAsia" w:hAnsiTheme="minorEastAsia"/>
          <w:b/>
        </w:rPr>
        <w:t>4、固体废物：</w:t>
      </w:r>
      <w:r>
        <w:rPr>
          <w:rFonts w:hint="eastAsia" w:asciiTheme="minorEastAsia" w:hAnsiTheme="minorEastAsia"/>
        </w:rPr>
        <w:t>该项目产生的一般固废主要为石膏贴面板生产过程中切割工序布袋除尘器收集的粉尘；石膏线条生产过程中产生的石膏浆渣和不合格品；机械设备加工过程中产生的下脚料和铁屑、焊渣；产品该项目包装过程产生的废包装材料和职工生活垃圾。</w:t>
      </w:r>
    </w:p>
    <w:p>
      <w:pPr>
        <w:ind w:firstLine="510"/>
        <w:rPr>
          <w:rFonts w:asciiTheme="minorEastAsia" w:hAnsiTheme="minorEastAsia"/>
          <w:b/>
        </w:rPr>
      </w:pPr>
      <w:r>
        <w:rPr>
          <w:rFonts w:hint="eastAsia" w:asciiTheme="minorEastAsia" w:hAnsiTheme="minorEastAsia"/>
        </w:rPr>
        <w:t>该项目产生的危险废物为石膏贴面板生产过程产生的废胶桶、废胶渣，机加工过程产生的废液压油及其包装物。该项目切削液循环使用，定期添加，无废切削液产生。</w:t>
      </w:r>
    </w:p>
    <w:p>
      <w:pPr>
        <w:pStyle w:val="3"/>
        <w:spacing w:before="70" w:after="70"/>
        <w:sectPr>
          <w:headerReference r:id="rId23" w:type="first"/>
          <w:footerReference r:id="rId26" w:type="first"/>
          <w:footerReference r:id="rId24" w:type="default"/>
          <w:footerReference r:id="rId25" w:type="even"/>
          <w:pgSz w:w="11906" w:h="16838"/>
          <w:pgMar w:top="1440" w:right="1588" w:bottom="1191" w:left="1588" w:header="850" w:footer="992" w:gutter="0"/>
          <w:cols w:space="425" w:num="1"/>
          <w:docGrid w:type="lines" w:linePitch="354" w:charSpace="0"/>
        </w:sectPr>
      </w:pPr>
      <w:bookmarkStart w:id="41" w:name="_Toc502699361"/>
    </w:p>
    <w:p>
      <w:pPr>
        <w:pStyle w:val="3"/>
        <w:spacing w:before="70" w:after="70"/>
        <w:rPr>
          <w:color w:val="3E3E3E"/>
        </w:rPr>
      </w:pPr>
      <w:r>
        <w:t>3.</w:t>
      </w:r>
      <w:r>
        <w:rPr>
          <w:rFonts w:hint="eastAsia"/>
        </w:rPr>
        <w:t>6</w:t>
      </w:r>
      <w:r>
        <w:t>项目变动情况</w:t>
      </w:r>
      <w:bookmarkEnd w:id="39"/>
      <w:bookmarkEnd w:id="40"/>
      <w:bookmarkEnd w:id="41"/>
    </w:p>
    <w:p>
      <w:pPr>
        <w:ind w:firstLine="520"/>
      </w:pPr>
      <w:r>
        <w:t>对照建设项目环境影响报告表的建设内容及该项目的环评批复临环高表[2017]62号，</w:t>
      </w:r>
      <w:r>
        <w:rPr>
          <w:rFonts w:hint="eastAsia" w:eastAsia="宋体"/>
          <w:kern w:val="0"/>
          <w:sz w:val="24"/>
          <w:szCs w:val="24"/>
        </w:rPr>
        <w:t>该项目环评变更情况见表3.6-1</w:t>
      </w:r>
      <w:r>
        <w:t>。</w:t>
      </w:r>
    </w:p>
    <w:p>
      <w:pPr>
        <w:ind w:firstLine="573"/>
        <w:jc w:val="center"/>
        <w:rPr>
          <w:rFonts w:eastAsia="宋体"/>
          <w:kern w:val="0"/>
          <w:sz w:val="24"/>
          <w:szCs w:val="24"/>
        </w:rPr>
      </w:pPr>
      <w:r>
        <w:rPr>
          <w:rFonts w:hint="eastAsia" w:eastAsia="宋体"/>
          <w:kern w:val="0"/>
          <w:sz w:val="24"/>
          <w:szCs w:val="24"/>
        </w:rPr>
        <w:t>表3.6-1该项目环评变更情况一览表</w:t>
      </w:r>
    </w:p>
    <w:tbl>
      <w:tblPr>
        <w:tblStyle w:val="47"/>
        <w:tblW w:w="872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61"/>
        <w:gridCol w:w="3118"/>
        <w:gridCol w:w="26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28" w:hRule="atLeast"/>
          <w:jc w:val="center"/>
        </w:trPr>
        <w:tc>
          <w:tcPr>
            <w:tcW w:w="2961" w:type="dxa"/>
            <w:shd w:val="clear" w:color="auto" w:fill="auto"/>
            <w:vAlign w:val="center"/>
          </w:tcPr>
          <w:p>
            <w:pPr>
              <w:spacing w:line="240" w:lineRule="auto"/>
              <w:jc w:val="center"/>
              <w:rPr>
                <w:rFonts w:eastAsia="宋体"/>
                <w:bCs/>
                <w:color w:val="000000"/>
                <w:sz w:val="24"/>
                <w:szCs w:val="24"/>
              </w:rPr>
            </w:pPr>
            <w:r>
              <w:rPr>
                <w:rFonts w:eastAsia="宋体"/>
                <w:bCs/>
                <w:color w:val="000000"/>
                <w:sz w:val="24"/>
                <w:szCs w:val="24"/>
              </w:rPr>
              <w:t>环评内容</w:t>
            </w:r>
          </w:p>
        </w:tc>
        <w:tc>
          <w:tcPr>
            <w:tcW w:w="3118" w:type="dxa"/>
            <w:tcBorders>
              <w:right w:val="single" w:color="auto" w:sz="4" w:space="0"/>
            </w:tcBorders>
            <w:shd w:val="clear" w:color="auto" w:fill="auto"/>
            <w:vAlign w:val="center"/>
          </w:tcPr>
          <w:p>
            <w:pPr>
              <w:spacing w:line="240" w:lineRule="auto"/>
              <w:jc w:val="center"/>
              <w:rPr>
                <w:rFonts w:eastAsia="宋体"/>
                <w:bCs/>
                <w:color w:val="000000"/>
                <w:sz w:val="24"/>
                <w:szCs w:val="24"/>
              </w:rPr>
            </w:pPr>
            <w:r>
              <w:rPr>
                <w:rFonts w:eastAsia="宋体"/>
                <w:bCs/>
                <w:color w:val="000000"/>
                <w:sz w:val="24"/>
                <w:szCs w:val="24"/>
              </w:rPr>
              <w:t>实际建设情况</w:t>
            </w:r>
          </w:p>
        </w:tc>
        <w:tc>
          <w:tcPr>
            <w:tcW w:w="2645" w:type="dxa"/>
            <w:tcBorders>
              <w:left w:val="single" w:color="auto" w:sz="4" w:space="0"/>
            </w:tcBorders>
            <w:shd w:val="clear" w:color="auto" w:fill="auto"/>
            <w:vAlign w:val="center"/>
          </w:tcPr>
          <w:p>
            <w:pPr>
              <w:spacing w:line="240" w:lineRule="auto"/>
              <w:jc w:val="center"/>
              <w:rPr>
                <w:rFonts w:eastAsia="宋体"/>
                <w:bCs/>
                <w:color w:val="000000"/>
                <w:sz w:val="24"/>
                <w:szCs w:val="24"/>
              </w:rPr>
            </w:pPr>
            <w:r>
              <w:rPr>
                <w:rFonts w:hint="eastAsia" w:eastAsia="宋体"/>
                <w:bCs/>
                <w:color w:val="000000"/>
                <w:sz w:val="24"/>
                <w:szCs w:val="24"/>
              </w:rPr>
              <w:t>变更原因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84" w:hRule="atLeast"/>
          <w:jc w:val="center"/>
        </w:trPr>
        <w:tc>
          <w:tcPr>
            <w:tcW w:w="2961" w:type="dxa"/>
            <w:shd w:val="clear" w:color="auto" w:fill="auto"/>
            <w:vAlign w:val="center"/>
          </w:tcPr>
          <w:p>
            <w:pPr>
              <w:ind w:firstLine="480" w:firstLineChars="200"/>
              <w:rPr>
                <w:rFonts w:eastAsia="宋体"/>
                <w:bCs/>
                <w:color w:val="000000"/>
                <w:sz w:val="24"/>
                <w:szCs w:val="24"/>
              </w:rPr>
            </w:pPr>
            <w:r>
              <w:rPr>
                <w:rFonts w:hint="eastAsia" w:eastAsia="宋体"/>
                <w:bCs/>
                <w:color w:val="000000"/>
                <w:sz w:val="24"/>
                <w:szCs w:val="24"/>
              </w:rPr>
              <w:t>焊接烟尘废气直接无组织排放</w:t>
            </w:r>
          </w:p>
        </w:tc>
        <w:tc>
          <w:tcPr>
            <w:tcW w:w="3118" w:type="dxa"/>
            <w:tcBorders>
              <w:right w:val="single" w:color="auto" w:sz="4" w:space="0"/>
            </w:tcBorders>
            <w:shd w:val="clear" w:color="auto" w:fill="auto"/>
            <w:vAlign w:val="center"/>
          </w:tcPr>
          <w:p>
            <w:pPr>
              <w:ind w:firstLine="480" w:firstLineChars="200"/>
              <w:rPr>
                <w:rFonts w:eastAsia="宋体"/>
                <w:bCs/>
                <w:color w:val="000000"/>
                <w:sz w:val="24"/>
                <w:szCs w:val="24"/>
              </w:rPr>
            </w:pPr>
            <w:r>
              <w:rPr>
                <w:rFonts w:hint="eastAsia" w:eastAsia="宋体"/>
                <w:bCs/>
                <w:color w:val="000000"/>
                <w:sz w:val="24"/>
                <w:szCs w:val="24"/>
              </w:rPr>
              <w:t>焊接烟尘经移动式焊接烟尘除尘器处理后无组织排放。</w:t>
            </w:r>
          </w:p>
        </w:tc>
        <w:tc>
          <w:tcPr>
            <w:tcW w:w="2645" w:type="dxa"/>
            <w:tcBorders>
              <w:left w:val="single" w:color="auto" w:sz="4" w:space="0"/>
            </w:tcBorders>
            <w:shd w:val="clear" w:color="auto" w:fill="auto"/>
            <w:vAlign w:val="center"/>
          </w:tcPr>
          <w:p>
            <w:pPr>
              <w:ind w:firstLine="480" w:firstLineChars="200"/>
              <w:jc w:val="left"/>
              <w:rPr>
                <w:rFonts w:eastAsia="宋体"/>
                <w:bCs/>
                <w:color w:val="000000"/>
                <w:sz w:val="24"/>
                <w:szCs w:val="24"/>
              </w:rPr>
            </w:pPr>
            <w:r>
              <w:rPr>
                <w:rFonts w:hint="eastAsia" w:eastAsia="宋体"/>
                <w:bCs/>
                <w:color w:val="000000"/>
                <w:sz w:val="24"/>
                <w:szCs w:val="24"/>
              </w:rPr>
              <w:t>工艺改进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454" w:hRule="atLeast"/>
          <w:jc w:val="center"/>
        </w:trPr>
        <w:tc>
          <w:tcPr>
            <w:tcW w:w="8724" w:type="dxa"/>
            <w:gridSpan w:val="3"/>
            <w:tcBorders>
              <w:bottom w:val="single" w:color="auto" w:sz="4" w:space="0"/>
            </w:tcBorders>
            <w:shd w:val="clear" w:color="auto" w:fill="auto"/>
          </w:tcPr>
          <w:p>
            <w:pPr>
              <w:ind w:firstLine="480" w:firstLineChars="200"/>
              <w:rPr>
                <w:bCs/>
                <w:color w:val="000000"/>
                <w:sz w:val="24"/>
                <w:szCs w:val="24"/>
              </w:rPr>
            </w:pPr>
            <w:r>
              <w:rPr>
                <w:rFonts w:hint="eastAsia" w:eastAsia="宋体"/>
                <w:bCs/>
                <w:color w:val="000000"/>
                <w:sz w:val="24"/>
                <w:szCs w:val="24"/>
              </w:rPr>
              <w:t>备注：对照《关于印发环评管理中部分行业建设项目重大变动清单的通知》（环办[2015]52号）的相关要求，该项目</w:t>
            </w:r>
            <w:r>
              <w:rPr>
                <w:rFonts w:hint="eastAsia" w:eastAsia="宋体"/>
                <w:sz w:val="24"/>
              </w:rPr>
              <w:t>并不属于建设项目的性质、规模、地点、采用的生产工艺或者防治污染、防止生态破坏的措施发生重大变动的情况</w:t>
            </w:r>
            <w:r>
              <w:rPr>
                <w:rFonts w:hint="eastAsia" w:eastAsia="宋体"/>
                <w:bCs/>
                <w:color w:val="000000"/>
                <w:sz w:val="24"/>
                <w:szCs w:val="24"/>
              </w:rPr>
              <w:t>，不属于重大变更。</w:t>
            </w:r>
          </w:p>
        </w:tc>
      </w:tr>
    </w:tbl>
    <w:p>
      <w:pPr>
        <w:ind w:firstLine="520"/>
      </w:pPr>
    </w:p>
    <w:p>
      <w:pPr>
        <w:ind w:firstLine="520"/>
      </w:pPr>
    </w:p>
    <w:p>
      <w:pPr>
        <w:ind w:firstLine="520"/>
      </w:pPr>
    </w:p>
    <w:p>
      <w:pPr>
        <w:ind w:firstLine="520"/>
      </w:pPr>
    </w:p>
    <w:p>
      <w:pPr>
        <w:ind w:firstLine="520"/>
      </w:pPr>
    </w:p>
    <w:p>
      <w:pPr>
        <w:ind w:firstLine="520"/>
      </w:pPr>
    </w:p>
    <w:p>
      <w:pPr>
        <w:ind w:firstLine="520"/>
        <w:sectPr>
          <w:pgSz w:w="11906" w:h="16838"/>
          <w:pgMar w:top="1440" w:right="1588" w:bottom="1191" w:left="1588" w:header="850" w:footer="992" w:gutter="0"/>
          <w:cols w:space="425" w:num="1"/>
          <w:docGrid w:type="lines" w:linePitch="354" w:charSpace="0"/>
        </w:sectPr>
      </w:pPr>
    </w:p>
    <w:p>
      <w:pPr>
        <w:pStyle w:val="2"/>
        <w:spacing w:before="177" w:after="106"/>
      </w:pPr>
      <w:bookmarkStart w:id="42" w:name="_Toc499059464"/>
      <w:bookmarkStart w:id="43" w:name="_Toc499060201"/>
      <w:bookmarkStart w:id="44" w:name="_Toc502699362"/>
      <w:r>
        <w:t>4环境保护设施</w:t>
      </w:r>
      <w:bookmarkEnd w:id="42"/>
      <w:bookmarkEnd w:id="43"/>
      <w:bookmarkEnd w:id="44"/>
    </w:p>
    <w:p>
      <w:pPr>
        <w:spacing w:line="500" w:lineRule="exact"/>
        <w:ind w:firstLine="520"/>
        <w:rPr>
          <w:sz w:val="24"/>
        </w:rPr>
      </w:pPr>
      <w:r>
        <w:t>项目在建设过程中认真落实环境影响报告表及审批文件的要求。</w:t>
      </w:r>
    </w:p>
    <w:p>
      <w:pPr>
        <w:pStyle w:val="3"/>
        <w:spacing w:before="70" w:after="70"/>
        <w:rPr>
          <w:color w:val="3E3E3E"/>
        </w:rPr>
      </w:pPr>
      <w:bookmarkStart w:id="45" w:name="_Toc499060202"/>
      <w:bookmarkStart w:id="46" w:name="_Toc499059465"/>
      <w:bookmarkStart w:id="47" w:name="_Toc502699363"/>
      <w:r>
        <w:t>4.1污染物治理/处置设施</w:t>
      </w:r>
      <w:bookmarkEnd w:id="45"/>
      <w:bookmarkEnd w:id="46"/>
      <w:bookmarkEnd w:id="47"/>
    </w:p>
    <w:p>
      <w:pPr>
        <w:pStyle w:val="4"/>
        <w:spacing w:before="70"/>
        <w:rPr>
          <w:color w:val="3E3E3E"/>
        </w:rPr>
      </w:pPr>
      <w:bookmarkStart w:id="48" w:name="_Toc499059466"/>
      <w:bookmarkStart w:id="49" w:name="_Toc499060203"/>
      <w:r>
        <w:t>4.1.1废水</w:t>
      </w:r>
      <w:bookmarkEnd w:id="48"/>
      <w:bookmarkEnd w:id="49"/>
    </w:p>
    <w:p>
      <w:pPr>
        <w:ind w:firstLine="510"/>
      </w:pPr>
      <w:r>
        <w:rPr>
          <w:rFonts w:hint="eastAsia"/>
        </w:rPr>
        <w:t>该项目石膏线条模具清洗用水循环使用，不外排，项目废水主要是生活污水，经化粪池处理后外运堆肥。</w:t>
      </w:r>
    </w:p>
    <w:p>
      <w:pPr>
        <w:spacing w:beforeLines="50" w:line="240" w:lineRule="auto"/>
        <w:ind w:firstLine="510"/>
        <w:jc w:val="center"/>
      </w:pPr>
      <w:r>
        <w:t>表</w:t>
      </w:r>
      <w:r>
        <w:rPr>
          <w:rFonts w:hint="eastAsia"/>
        </w:rPr>
        <w:t>4.1</w:t>
      </w:r>
      <w:r>
        <w:t>-</w:t>
      </w:r>
      <w:r>
        <w:rPr>
          <w:rFonts w:hint="eastAsia"/>
        </w:rPr>
        <w:t>1废水处理情况</w:t>
      </w:r>
      <w:r>
        <w:t>一览表</w:t>
      </w:r>
    </w:p>
    <w:tbl>
      <w:tblPr>
        <w:tblStyle w:val="48"/>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43"/>
        <w:gridCol w:w="1276"/>
        <w:gridCol w:w="1701"/>
        <w:gridCol w:w="1276"/>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675" w:type="dxa"/>
            <w:vAlign w:val="center"/>
          </w:tcPr>
          <w:p>
            <w:pPr>
              <w:widowControl/>
              <w:spacing w:line="240" w:lineRule="auto"/>
              <w:jc w:val="center"/>
              <w:rPr>
                <w:b/>
                <w:sz w:val="21"/>
              </w:rPr>
            </w:pPr>
            <w:r>
              <w:rPr>
                <w:b/>
                <w:sz w:val="21"/>
              </w:rPr>
              <w:t>序号</w:t>
            </w:r>
          </w:p>
        </w:tc>
        <w:tc>
          <w:tcPr>
            <w:tcW w:w="1843" w:type="dxa"/>
            <w:vAlign w:val="center"/>
          </w:tcPr>
          <w:p>
            <w:pPr>
              <w:widowControl/>
              <w:spacing w:line="240" w:lineRule="auto"/>
              <w:jc w:val="center"/>
              <w:rPr>
                <w:b/>
                <w:sz w:val="21"/>
              </w:rPr>
            </w:pPr>
            <w:r>
              <w:rPr>
                <w:rFonts w:hint="eastAsia"/>
                <w:b/>
                <w:sz w:val="21"/>
              </w:rPr>
              <w:t>废水类别</w:t>
            </w:r>
          </w:p>
        </w:tc>
        <w:tc>
          <w:tcPr>
            <w:tcW w:w="1276" w:type="dxa"/>
            <w:vAlign w:val="center"/>
          </w:tcPr>
          <w:p>
            <w:pPr>
              <w:widowControl/>
              <w:spacing w:line="240" w:lineRule="auto"/>
              <w:jc w:val="center"/>
              <w:rPr>
                <w:b/>
                <w:sz w:val="21"/>
              </w:rPr>
            </w:pPr>
            <w:r>
              <w:rPr>
                <w:rFonts w:hint="eastAsia"/>
                <w:b/>
                <w:sz w:val="21"/>
              </w:rPr>
              <w:t>产生工序</w:t>
            </w:r>
          </w:p>
        </w:tc>
        <w:tc>
          <w:tcPr>
            <w:tcW w:w="1701" w:type="dxa"/>
            <w:vAlign w:val="center"/>
          </w:tcPr>
          <w:p>
            <w:pPr>
              <w:widowControl/>
              <w:spacing w:line="240" w:lineRule="auto"/>
              <w:jc w:val="center"/>
              <w:rPr>
                <w:b/>
                <w:sz w:val="21"/>
              </w:rPr>
            </w:pPr>
            <w:r>
              <w:rPr>
                <w:rFonts w:hint="eastAsia"/>
                <w:b/>
                <w:sz w:val="21"/>
              </w:rPr>
              <w:t>污染物</w:t>
            </w:r>
          </w:p>
        </w:tc>
        <w:tc>
          <w:tcPr>
            <w:tcW w:w="1276" w:type="dxa"/>
            <w:vAlign w:val="center"/>
          </w:tcPr>
          <w:p>
            <w:pPr>
              <w:widowControl/>
              <w:spacing w:line="240" w:lineRule="auto"/>
              <w:jc w:val="center"/>
              <w:rPr>
                <w:b/>
                <w:sz w:val="21"/>
              </w:rPr>
            </w:pPr>
            <w:r>
              <w:rPr>
                <w:rFonts w:hint="eastAsia"/>
                <w:b/>
                <w:sz w:val="21"/>
              </w:rPr>
              <w:t>产生量</w:t>
            </w:r>
          </w:p>
        </w:tc>
        <w:tc>
          <w:tcPr>
            <w:tcW w:w="2119" w:type="dxa"/>
            <w:vAlign w:val="center"/>
          </w:tcPr>
          <w:p>
            <w:pPr>
              <w:widowControl/>
              <w:spacing w:line="240" w:lineRule="auto"/>
              <w:jc w:val="center"/>
              <w:rPr>
                <w:b/>
                <w:sz w:val="21"/>
              </w:rPr>
            </w:pPr>
            <w:r>
              <w:rPr>
                <w:rFonts w:hint="eastAsia"/>
                <w:b/>
                <w:sz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675" w:type="dxa"/>
            <w:vAlign w:val="center"/>
          </w:tcPr>
          <w:p>
            <w:pPr>
              <w:widowControl/>
              <w:spacing w:line="240" w:lineRule="auto"/>
              <w:jc w:val="center"/>
              <w:rPr>
                <w:sz w:val="21"/>
              </w:rPr>
            </w:pPr>
            <w:r>
              <w:rPr>
                <w:sz w:val="21"/>
              </w:rPr>
              <w:t>1</w:t>
            </w:r>
          </w:p>
        </w:tc>
        <w:tc>
          <w:tcPr>
            <w:tcW w:w="1843" w:type="dxa"/>
            <w:vAlign w:val="center"/>
          </w:tcPr>
          <w:p>
            <w:pPr>
              <w:widowControl/>
              <w:spacing w:line="240" w:lineRule="auto"/>
              <w:jc w:val="center"/>
              <w:rPr>
                <w:sz w:val="21"/>
              </w:rPr>
            </w:pPr>
            <w:r>
              <w:rPr>
                <w:rFonts w:hint="eastAsia"/>
                <w:sz w:val="21"/>
              </w:rPr>
              <w:t>清洗用水</w:t>
            </w:r>
          </w:p>
        </w:tc>
        <w:tc>
          <w:tcPr>
            <w:tcW w:w="1276" w:type="dxa"/>
            <w:vAlign w:val="center"/>
          </w:tcPr>
          <w:p>
            <w:pPr>
              <w:widowControl/>
              <w:spacing w:line="240" w:lineRule="auto"/>
              <w:jc w:val="center"/>
              <w:rPr>
                <w:sz w:val="21"/>
              </w:rPr>
            </w:pPr>
            <w:r>
              <w:rPr>
                <w:rFonts w:hint="eastAsia"/>
                <w:sz w:val="21"/>
              </w:rPr>
              <w:t>石膏线条模具清洗</w:t>
            </w:r>
          </w:p>
        </w:tc>
        <w:tc>
          <w:tcPr>
            <w:tcW w:w="1701" w:type="dxa"/>
            <w:vAlign w:val="center"/>
          </w:tcPr>
          <w:p>
            <w:pPr>
              <w:widowControl/>
              <w:spacing w:line="240" w:lineRule="auto"/>
              <w:jc w:val="center"/>
              <w:rPr>
                <w:sz w:val="21"/>
              </w:rPr>
            </w:pPr>
            <w:r>
              <w:rPr>
                <w:rFonts w:hint="eastAsia"/>
                <w:sz w:val="21"/>
              </w:rPr>
              <w:t>——</w:t>
            </w:r>
          </w:p>
        </w:tc>
        <w:tc>
          <w:tcPr>
            <w:tcW w:w="1276" w:type="dxa"/>
            <w:vAlign w:val="center"/>
          </w:tcPr>
          <w:p>
            <w:pPr>
              <w:widowControl/>
              <w:spacing w:line="240" w:lineRule="auto"/>
              <w:jc w:val="center"/>
              <w:rPr>
                <w:sz w:val="21"/>
              </w:rPr>
            </w:pPr>
            <w:r>
              <w:rPr>
                <w:rFonts w:hint="eastAsia"/>
                <w:sz w:val="21"/>
              </w:rPr>
              <w:t>——</w:t>
            </w:r>
          </w:p>
        </w:tc>
        <w:tc>
          <w:tcPr>
            <w:tcW w:w="2119" w:type="dxa"/>
            <w:vAlign w:val="center"/>
          </w:tcPr>
          <w:p>
            <w:pPr>
              <w:widowControl/>
              <w:spacing w:line="240" w:lineRule="auto"/>
              <w:jc w:val="center"/>
              <w:rPr>
                <w:sz w:val="21"/>
              </w:rPr>
            </w:pPr>
            <w:r>
              <w:rPr>
                <w:rFonts w:hint="eastAsia"/>
                <w:sz w:val="21"/>
              </w:rPr>
              <w:t>循环使用，不外排，补充水量约150</w:t>
            </w:r>
            <w:r>
              <w:rPr>
                <w:sz w:val="21"/>
              </w:rPr>
              <w:t>m</w:t>
            </w:r>
            <w:r>
              <w:rPr>
                <w:sz w:val="21"/>
                <w:vertAlign w:val="superscript"/>
              </w:rPr>
              <w:t>3</w:t>
            </w:r>
            <w:r>
              <w:rPr>
                <w:sz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trPr>
        <w:tc>
          <w:tcPr>
            <w:tcW w:w="675" w:type="dxa"/>
            <w:vAlign w:val="center"/>
          </w:tcPr>
          <w:p>
            <w:pPr>
              <w:widowControl/>
              <w:spacing w:line="240" w:lineRule="auto"/>
              <w:jc w:val="center"/>
              <w:rPr>
                <w:sz w:val="21"/>
              </w:rPr>
            </w:pPr>
            <w:r>
              <w:rPr>
                <w:sz w:val="21"/>
              </w:rPr>
              <w:t>2</w:t>
            </w:r>
          </w:p>
        </w:tc>
        <w:tc>
          <w:tcPr>
            <w:tcW w:w="1843" w:type="dxa"/>
            <w:vAlign w:val="center"/>
          </w:tcPr>
          <w:p>
            <w:pPr>
              <w:widowControl/>
              <w:spacing w:line="240" w:lineRule="auto"/>
              <w:jc w:val="center"/>
              <w:rPr>
                <w:sz w:val="21"/>
              </w:rPr>
            </w:pPr>
            <w:r>
              <w:rPr>
                <w:rFonts w:hint="eastAsia"/>
                <w:sz w:val="21"/>
              </w:rPr>
              <w:t>职工生活污水</w:t>
            </w:r>
          </w:p>
        </w:tc>
        <w:tc>
          <w:tcPr>
            <w:tcW w:w="1276" w:type="dxa"/>
            <w:vAlign w:val="center"/>
          </w:tcPr>
          <w:p>
            <w:pPr>
              <w:widowControl/>
              <w:spacing w:line="240" w:lineRule="auto"/>
              <w:jc w:val="center"/>
              <w:rPr>
                <w:sz w:val="21"/>
              </w:rPr>
            </w:pPr>
            <w:r>
              <w:rPr>
                <w:rFonts w:hint="eastAsia"/>
                <w:sz w:val="21"/>
              </w:rPr>
              <w:t>职工生活</w:t>
            </w:r>
          </w:p>
        </w:tc>
        <w:tc>
          <w:tcPr>
            <w:tcW w:w="1701" w:type="dxa"/>
            <w:vAlign w:val="center"/>
          </w:tcPr>
          <w:p>
            <w:pPr>
              <w:widowControl/>
              <w:spacing w:line="240" w:lineRule="auto"/>
              <w:jc w:val="center"/>
              <w:rPr>
                <w:sz w:val="21"/>
              </w:rPr>
            </w:pPr>
            <w:r>
              <w:rPr>
                <w:rFonts w:hint="eastAsia"/>
                <w:sz w:val="21"/>
              </w:rPr>
              <w:t>化学需氧量、氨氮、悬浮物等</w:t>
            </w:r>
          </w:p>
        </w:tc>
        <w:tc>
          <w:tcPr>
            <w:tcW w:w="1276" w:type="dxa"/>
            <w:vAlign w:val="center"/>
          </w:tcPr>
          <w:p>
            <w:pPr>
              <w:widowControl/>
              <w:spacing w:line="240" w:lineRule="auto"/>
              <w:jc w:val="center"/>
              <w:rPr>
                <w:sz w:val="21"/>
              </w:rPr>
            </w:pPr>
            <w:r>
              <w:rPr>
                <w:rFonts w:hint="eastAsia"/>
                <w:sz w:val="21"/>
              </w:rPr>
              <w:t>约480</w:t>
            </w:r>
            <w:r>
              <w:rPr>
                <w:sz w:val="21"/>
              </w:rPr>
              <w:t>m</w:t>
            </w:r>
            <w:r>
              <w:rPr>
                <w:sz w:val="21"/>
                <w:vertAlign w:val="superscript"/>
              </w:rPr>
              <w:t>3</w:t>
            </w:r>
            <w:r>
              <w:rPr>
                <w:sz w:val="21"/>
              </w:rPr>
              <w:t>/a</w:t>
            </w:r>
          </w:p>
        </w:tc>
        <w:tc>
          <w:tcPr>
            <w:tcW w:w="2119" w:type="dxa"/>
            <w:vAlign w:val="center"/>
          </w:tcPr>
          <w:p>
            <w:pPr>
              <w:widowControl/>
              <w:spacing w:line="240" w:lineRule="auto"/>
              <w:jc w:val="center"/>
              <w:rPr>
                <w:sz w:val="21"/>
              </w:rPr>
            </w:pPr>
            <w:r>
              <w:rPr>
                <w:rFonts w:hint="eastAsia"/>
                <w:sz w:val="21"/>
              </w:rPr>
              <w:t>经化粪池处理后外运堆肥。</w:t>
            </w:r>
          </w:p>
        </w:tc>
      </w:tr>
    </w:tbl>
    <w:p>
      <w:pPr>
        <w:pStyle w:val="4"/>
        <w:spacing w:before="70"/>
      </w:pPr>
      <w:r>
        <w:t>4.1.2废气</w:t>
      </w:r>
    </w:p>
    <w:p>
      <w:pPr>
        <w:ind w:firstLine="520"/>
      </w:pPr>
      <w:r>
        <w:rPr>
          <w:rFonts w:hint="eastAsia" w:asciiTheme="minorEastAsia" w:hAnsiTheme="minorEastAsia"/>
          <w:bCs/>
        </w:rPr>
        <w:t>该项目废气污染物主要为纸面石膏板贴面工序产生的非甲烷总烃、贴面石膏板切割工序产生的切割粉尘，石膏线条生产过程中石膏粉筒仓进料粉尘、石膏浆液搅拌工序产生的粉尘，以及机械设备加工过程中钢材焊接工序产生的烟尘。经调查，该项目废气处理措施如下：</w:t>
      </w:r>
    </w:p>
    <w:p>
      <w:pPr>
        <w:ind w:firstLine="520"/>
      </w:pPr>
      <w:r>
        <w:rPr>
          <w:rFonts w:hint="eastAsia"/>
        </w:rPr>
        <w:t>1、</w:t>
      </w:r>
      <w:r>
        <w:rPr>
          <w:rFonts w:hint="eastAsia" w:asciiTheme="minorEastAsia" w:hAnsiTheme="minorEastAsia"/>
          <w:bCs/>
        </w:rPr>
        <w:t>贴面工序产生的非甲烷总烃</w:t>
      </w:r>
      <w:r>
        <w:rPr>
          <w:rFonts w:hint="eastAsia"/>
        </w:rPr>
        <w:t>废气经集气罩收集后通过1台光催化氧化处理设施进行处理，处理后废气通过1根15米高排气筒排放。</w:t>
      </w:r>
    </w:p>
    <w:p>
      <w:pPr>
        <w:ind w:firstLine="520"/>
      </w:pPr>
      <w:r>
        <w:rPr>
          <w:rFonts w:hint="eastAsia"/>
        </w:rPr>
        <w:t>UV光解原理：</w:t>
      </w:r>
    </w:p>
    <w:p>
      <w:pPr>
        <w:ind w:firstLine="520"/>
      </w:pPr>
      <w:r>
        <w:rPr>
          <w:rFonts w:hint="eastAsia"/>
        </w:rPr>
        <w:t>（1）利用高能高臭氧UV紫外线光束分解空气重大氧分子产生游离氧，即活性氧，因游离氧不稳定需与氧分子结合，进而产生臭氧。臭氧对有机物有极强的氧化作用；</w:t>
      </w:r>
    </w:p>
    <w:p>
      <w:pPr>
        <w:ind w:firstLine="520"/>
        <w:rPr>
          <w:rFonts w:hAnsiTheme="minorEastAsia"/>
        </w:rPr>
      </w:pPr>
      <w:r>
        <w:t>UV+O</w:t>
      </w:r>
      <w:r>
        <w:rPr>
          <w:vertAlign w:val="subscript"/>
        </w:rPr>
        <w:t>2</w:t>
      </w:r>
      <w:r>
        <w:t>→O+O</w:t>
      </w:r>
      <w:r>
        <w:rPr>
          <w:rFonts w:hAnsiTheme="minorEastAsia"/>
        </w:rPr>
        <w:t>＊</w:t>
      </w:r>
      <w:r>
        <w:rPr>
          <w:rFonts w:hint="eastAsia" w:hAnsiTheme="minorEastAsia"/>
        </w:rPr>
        <w:t>（活性氧）</w:t>
      </w:r>
    </w:p>
    <w:p>
      <w:pPr>
        <w:ind w:firstLine="520"/>
      </w:pPr>
      <w:r>
        <w:rPr>
          <w:rFonts w:hint="eastAsia"/>
        </w:rPr>
        <w:t>O</w:t>
      </w:r>
      <w:r>
        <w:t>+O</w:t>
      </w:r>
      <w:r>
        <w:rPr>
          <w:vertAlign w:val="subscript"/>
        </w:rPr>
        <w:t>2</w:t>
      </w:r>
      <w:r>
        <w:t>→O</w:t>
      </w:r>
      <w:r>
        <w:rPr>
          <w:rFonts w:hint="eastAsia"/>
          <w:vertAlign w:val="subscript"/>
        </w:rPr>
        <w:t>3</w:t>
      </w:r>
    </w:p>
    <w:p>
      <w:pPr>
        <w:ind w:firstLine="520"/>
      </w:pPr>
      <w:r>
        <w:rPr>
          <w:rFonts w:hint="eastAsia"/>
        </w:rPr>
        <w:t>（2）利用高能高臭氧UV光束照射有机废气，进行裂解，使呈游离状态的高分子被臭氧氧化结合成小分子无害或低害的化合物；</w:t>
      </w:r>
    </w:p>
    <w:p>
      <w:pPr>
        <w:ind w:firstLine="520"/>
      </w:pPr>
      <w:r>
        <w:rPr>
          <w:rFonts w:hint="eastAsia"/>
        </w:rPr>
        <w:t>（3）有机废气利用排风设备输入到本净化设备后，净化设备利用高能UV紫外线光束及臭氧对废气进行协同分解氧化反应，使其降解为低分子化合物、水和二氧化碳，通过排风管道排出。</w:t>
      </w:r>
    </w:p>
    <w:p>
      <w:pPr>
        <w:ind w:firstLine="520"/>
      </w:pPr>
      <w:r>
        <w:rPr>
          <w:rFonts w:hint="eastAsia"/>
        </w:rPr>
        <w:t>2、该项目2条石膏贴面板切割生产线，每条线产生的</w:t>
      </w:r>
      <w:r>
        <w:rPr>
          <w:rFonts w:hint="eastAsia" w:asciiTheme="minorEastAsia" w:hAnsiTheme="minorEastAsia"/>
          <w:bCs/>
        </w:rPr>
        <w:t>切割粉尘</w:t>
      </w:r>
      <w:r>
        <w:rPr>
          <w:rFonts w:hint="eastAsia"/>
        </w:rPr>
        <w:t>经各自集气罩及吸尘管道收集后进各自布袋除尘器处理，处理后废气汇集到1根15米高排气筒排放。</w:t>
      </w:r>
    </w:p>
    <w:p>
      <w:pPr>
        <w:ind w:firstLine="520"/>
        <w:rPr>
          <w:rFonts w:asciiTheme="minorEastAsia" w:hAnsiTheme="minorEastAsia"/>
          <w:bCs/>
        </w:rPr>
      </w:pPr>
      <w:r>
        <w:rPr>
          <w:rFonts w:hint="eastAsia"/>
        </w:rPr>
        <w:t>3、传送带进行了密封，</w:t>
      </w:r>
      <w:r>
        <w:rPr>
          <w:rFonts w:hint="eastAsia" w:asciiTheme="minorEastAsia" w:hAnsiTheme="minorEastAsia"/>
          <w:bCs/>
        </w:rPr>
        <w:t>石膏粉筒仓进料粉尘废气无组织排放；</w:t>
      </w:r>
    </w:p>
    <w:p>
      <w:pPr>
        <w:ind w:firstLine="520"/>
      </w:pPr>
      <w:r>
        <w:rPr>
          <w:rFonts w:hint="eastAsia"/>
        </w:rPr>
        <w:t>4、</w:t>
      </w:r>
      <w:r>
        <w:rPr>
          <w:rFonts w:hint="eastAsia" w:asciiTheme="minorEastAsia" w:hAnsiTheme="minorEastAsia"/>
          <w:bCs/>
        </w:rPr>
        <w:t>石膏浆液搅拌机为密闭设备，产生的少量粉尘废气无组织排放；</w:t>
      </w:r>
    </w:p>
    <w:p>
      <w:pPr>
        <w:ind w:firstLine="520"/>
      </w:pPr>
      <w:r>
        <w:rPr>
          <w:rFonts w:hint="eastAsia"/>
        </w:rPr>
        <w:t>5、</w:t>
      </w:r>
      <w:r>
        <w:rPr>
          <w:rFonts w:hint="eastAsia" w:asciiTheme="minorEastAsia" w:hAnsiTheme="minorEastAsia"/>
          <w:bCs/>
        </w:rPr>
        <w:t>焊接工序产生的焊接烟尘废气经移动式焊接烟尘除尘器处理后无组织排放</w:t>
      </w:r>
      <w:r>
        <w:rPr>
          <w:rFonts w:hint="eastAsia"/>
        </w:rPr>
        <w:t>；</w:t>
      </w:r>
    </w:p>
    <w:p>
      <w:pPr>
        <w:ind w:firstLine="520"/>
      </w:pPr>
      <w:r>
        <w:rPr>
          <w:rFonts w:hint="eastAsia"/>
        </w:rPr>
        <w:t>6、未经收集的非甲烷总烃废气及粉尘废气经加强车间通风后无组织排放。</w:t>
      </w:r>
    </w:p>
    <w:tbl>
      <w:tblPr>
        <w:tblStyle w:val="48"/>
        <w:tblW w:w="9464"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808"/>
        <w:gridCol w:w="4656"/>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3803" w:hRule="atLeast"/>
        </w:trPr>
        <w:tc>
          <w:tcPr>
            <w:tcW w:w="4808" w:type="dxa"/>
          </w:tcPr>
          <w:p>
            <w:pPr>
              <w:spacing w:line="240" w:lineRule="auto"/>
              <w:jc w:val="center"/>
            </w:pPr>
            <w:r>
              <w:drawing>
                <wp:inline distT="0" distB="0" distL="0" distR="0">
                  <wp:extent cx="2997835" cy="2305050"/>
                  <wp:effectExtent l="19050" t="0" r="0" b="0"/>
                  <wp:docPr id="17" name="图片 17" descr="d:\Documents\Tencent Files\474150110\FileRecv\MobileFile\P71206-1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Documents\Tencent Files\474150110\FileRecv\MobileFile\P71206-111230.jpg"/>
                          <pic:cNvPicPr>
                            <a:picLocks noChangeAspect="1" noChangeArrowheads="1"/>
                          </pic:cNvPicPr>
                        </pic:nvPicPr>
                        <pic:blipFill>
                          <a:blip r:embed="rId48" cstate="print"/>
                          <a:srcRect/>
                          <a:stretch>
                            <a:fillRect/>
                          </a:stretch>
                        </pic:blipFill>
                        <pic:spPr>
                          <a:xfrm>
                            <a:off x="0" y="0"/>
                            <a:ext cx="3002385" cy="2308484"/>
                          </a:xfrm>
                          <a:prstGeom prst="rect">
                            <a:avLst/>
                          </a:prstGeom>
                          <a:noFill/>
                          <a:ln w="9525">
                            <a:noFill/>
                            <a:miter lim="800000"/>
                            <a:headEnd/>
                            <a:tailEnd/>
                          </a:ln>
                        </pic:spPr>
                      </pic:pic>
                    </a:graphicData>
                  </a:graphic>
                </wp:inline>
              </w:drawing>
            </w:r>
          </w:p>
          <w:p>
            <w:pPr>
              <w:spacing w:line="240" w:lineRule="auto"/>
              <w:jc w:val="center"/>
              <w:rPr>
                <w:sz w:val="22"/>
              </w:rPr>
            </w:pPr>
            <w:r>
              <w:rPr>
                <w:rFonts w:hint="eastAsia"/>
                <w:sz w:val="22"/>
              </w:rPr>
              <w:t>贴面工序</w:t>
            </w:r>
          </w:p>
        </w:tc>
        <w:tc>
          <w:tcPr>
            <w:tcW w:w="4656" w:type="dxa"/>
          </w:tcPr>
          <w:p>
            <w:pPr>
              <w:spacing w:line="240" w:lineRule="auto"/>
              <w:jc w:val="center"/>
            </w:pPr>
            <w:r>
              <w:drawing>
                <wp:inline distT="0" distB="0" distL="0" distR="0">
                  <wp:extent cx="2696210" cy="2305050"/>
                  <wp:effectExtent l="19050" t="0" r="8728" b="0"/>
                  <wp:docPr id="5" name="图片 16" descr="d:\Documents\Tencent Files\474150110\FileRecv\MobileFile\P71206-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d:\Documents\Tencent Files\474150110\FileRecv\MobileFile\P71206-113056.jpg"/>
                          <pic:cNvPicPr>
                            <a:picLocks noChangeAspect="1" noChangeArrowheads="1"/>
                          </pic:cNvPicPr>
                        </pic:nvPicPr>
                        <pic:blipFill>
                          <a:blip r:embed="rId49" cstate="print"/>
                          <a:srcRect/>
                          <a:stretch>
                            <a:fillRect/>
                          </a:stretch>
                        </pic:blipFill>
                        <pic:spPr>
                          <a:xfrm>
                            <a:off x="0" y="0"/>
                            <a:ext cx="2699041" cy="2307331"/>
                          </a:xfrm>
                          <a:prstGeom prst="rect">
                            <a:avLst/>
                          </a:prstGeom>
                          <a:noFill/>
                          <a:ln w="9525">
                            <a:noFill/>
                            <a:miter lim="800000"/>
                            <a:headEnd/>
                            <a:tailEnd/>
                          </a:ln>
                        </pic:spPr>
                      </pic:pic>
                    </a:graphicData>
                  </a:graphic>
                </wp:inline>
              </w:drawing>
            </w:r>
          </w:p>
          <w:p>
            <w:pPr>
              <w:spacing w:line="240" w:lineRule="auto"/>
              <w:jc w:val="center"/>
              <w:rPr>
                <w:sz w:val="22"/>
              </w:rPr>
            </w:pPr>
            <w:r>
              <w:rPr>
                <w:rFonts w:hint="eastAsia"/>
                <w:sz w:val="22"/>
              </w:rPr>
              <w:t>光催化氧化处理设施</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120" w:hRule="atLeast"/>
        </w:trPr>
        <w:tc>
          <w:tcPr>
            <w:tcW w:w="4808" w:type="dxa"/>
          </w:tcPr>
          <w:p>
            <w:pPr>
              <w:spacing w:line="240" w:lineRule="auto"/>
              <w:jc w:val="center"/>
            </w:pPr>
            <w:r>
              <w:drawing>
                <wp:inline distT="0" distB="0" distL="0" distR="0">
                  <wp:extent cx="2895600" cy="2305050"/>
                  <wp:effectExtent l="19050" t="0" r="0" b="0"/>
                  <wp:docPr id="14" name="图片 14" descr="d:\Documents\Tencent Files\474150110\FileRecv\MobileFile\P71206-1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ocuments\Tencent Files\474150110\FileRecv\MobileFile\P71206-110139.jpg"/>
                          <pic:cNvPicPr>
                            <a:picLocks noChangeAspect="1" noChangeArrowheads="1"/>
                          </pic:cNvPicPr>
                        </pic:nvPicPr>
                        <pic:blipFill>
                          <a:blip r:embed="rId50" cstate="print"/>
                          <a:srcRect/>
                          <a:stretch>
                            <a:fillRect/>
                          </a:stretch>
                        </pic:blipFill>
                        <pic:spPr>
                          <a:xfrm>
                            <a:off x="0" y="0"/>
                            <a:ext cx="2899914" cy="2308484"/>
                          </a:xfrm>
                          <a:prstGeom prst="rect">
                            <a:avLst/>
                          </a:prstGeom>
                          <a:noFill/>
                          <a:ln w="9525">
                            <a:noFill/>
                            <a:miter lim="800000"/>
                            <a:headEnd/>
                            <a:tailEnd/>
                          </a:ln>
                        </pic:spPr>
                      </pic:pic>
                    </a:graphicData>
                  </a:graphic>
                </wp:inline>
              </w:drawing>
            </w:r>
          </w:p>
          <w:p>
            <w:pPr>
              <w:spacing w:line="240" w:lineRule="auto"/>
              <w:jc w:val="center"/>
              <w:rPr>
                <w:sz w:val="22"/>
              </w:rPr>
            </w:pPr>
            <w:r>
              <w:rPr>
                <w:rFonts w:hint="eastAsia"/>
                <w:sz w:val="22"/>
              </w:rPr>
              <w:t>机械设备切割工序</w:t>
            </w:r>
          </w:p>
        </w:tc>
        <w:tc>
          <w:tcPr>
            <w:tcW w:w="4656" w:type="dxa"/>
          </w:tcPr>
          <w:p>
            <w:pPr>
              <w:spacing w:line="240" w:lineRule="auto"/>
              <w:jc w:val="center"/>
            </w:pPr>
            <w:r>
              <w:drawing>
                <wp:inline distT="0" distB="0" distL="0" distR="0">
                  <wp:extent cx="2640965" cy="2305050"/>
                  <wp:effectExtent l="19050" t="0" r="6795" b="0"/>
                  <wp:docPr id="4" name="图片 15" descr="d:\Documents\Tencent Files\474150110\FileRecv\MobileFile\P71206-11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d:\Documents\Tencent Files\474150110\FileRecv\MobileFile\P71206-112948.jpg"/>
                          <pic:cNvPicPr>
                            <a:picLocks noChangeAspect="1" noChangeArrowheads="1"/>
                          </pic:cNvPicPr>
                        </pic:nvPicPr>
                        <pic:blipFill>
                          <a:blip r:embed="rId51" cstate="print"/>
                          <a:srcRect/>
                          <a:stretch>
                            <a:fillRect/>
                          </a:stretch>
                        </pic:blipFill>
                        <pic:spPr>
                          <a:xfrm>
                            <a:off x="0" y="0"/>
                            <a:ext cx="2646130" cy="2309392"/>
                          </a:xfrm>
                          <a:prstGeom prst="rect">
                            <a:avLst/>
                          </a:prstGeom>
                          <a:noFill/>
                          <a:ln w="9525">
                            <a:noFill/>
                            <a:miter lim="800000"/>
                            <a:headEnd/>
                            <a:tailEnd/>
                          </a:ln>
                        </pic:spPr>
                      </pic:pic>
                    </a:graphicData>
                  </a:graphic>
                </wp:inline>
              </w:drawing>
            </w:r>
          </w:p>
          <w:p>
            <w:pPr>
              <w:spacing w:line="240" w:lineRule="auto"/>
              <w:jc w:val="center"/>
            </w:pPr>
            <w:r>
              <w:rPr>
                <w:rFonts w:hint="eastAsia"/>
                <w:sz w:val="22"/>
              </w:rPr>
              <w:t>布袋除尘器</w:t>
            </w:r>
          </w:p>
        </w:tc>
      </w:tr>
    </w:tbl>
    <w:p>
      <w:pPr>
        <w:pStyle w:val="4"/>
        <w:spacing w:before="70"/>
        <w:sectPr>
          <w:pgSz w:w="11906" w:h="16838"/>
          <w:pgMar w:top="1440" w:right="1588" w:bottom="1191" w:left="1588" w:header="850" w:footer="992" w:gutter="0"/>
          <w:cols w:space="425" w:num="1"/>
          <w:docGrid w:type="lines" w:linePitch="354" w:charSpace="0"/>
        </w:sectPr>
      </w:pPr>
      <w:bookmarkStart w:id="50" w:name="_Toc499059467"/>
      <w:bookmarkStart w:id="51" w:name="_Toc499060204"/>
    </w:p>
    <w:p>
      <w:pPr>
        <w:pStyle w:val="49"/>
        <w:spacing w:before="177"/>
        <w:rPr>
          <w:rFonts w:eastAsiaTheme="minorEastAsia"/>
          <w:sz w:val="24"/>
        </w:rPr>
      </w:pPr>
      <w:r>
        <w:rPr>
          <w:rFonts w:hAnsiTheme="minorEastAsia" w:eastAsiaTheme="minorEastAsia"/>
          <w:sz w:val="24"/>
        </w:rPr>
        <w:t>表</w:t>
      </w:r>
      <w:r>
        <w:rPr>
          <w:rFonts w:eastAsiaTheme="minorEastAsia"/>
          <w:sz w:val="24"/>
        </w:rPr>
        <w:t>4.1-2</w:t>
      </w:r>
      <w:r>
        <w:rPr>
          <w:rFonts w:hAnsiTheme="minorEastAsia" w:eastAsiaTheme="minorEastAsia"/>
          <w:sz w:val="24"/>
        </w:rPr>
        <w:t>废气污染防治设施情况</w:t>
      </w:r>
    </w:p>
    <w:tbl>
      <w:tblPr>
        <w:tblStyle w:val="47"/>
        <w:tblW w:w="14187" w:type="dxa"/>
        <w:jc w:val="center"/>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487"/>
        <w:gridCol w:w="2118"/>
        <w:gridCol w:w="1136"/>
        <w:gridCol w:w="1987"/>
        <w:gridCol w:w="1420"/>
        <w:gridCol w:w="1301"/>
        <w:gridCol w:w="1679"/>
        <w:gridCol w:w="864"/>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jc w:val="center"/>
        </w:trPr>
        <w:tc>
          <w:tcPr>
            <w:tcW w:w="776" w:type="dxa"/>
            <w:shd w:val="clear" w:color="auto" w:fill="auto"/>
            <w:vAlign w:val="center"/>
          </w:tcPr>
          <w:p>
            <w:pPr>
              <w:widowControl/>
              <w:adjustRightInd/>
              <w:snapToGrid/>
              <w:spacing w:line="240" w:lineRule="auto"/>
              <w:jc w:val="center"/>
              <w:rPr>
                <w:rFonts w:eastAsia="宋体"/>
                <w:b/>
                <w:color w:val="000000"/>
                <w:kern w:val="0"/>
                <w:sz w:val="22"/>
              </w:rPr>
            </w:pPr>
            <w:r>
              <w:rPr>
                <w:rFonts w:eastAsia="宋体"/>
                <w:b/>
                <w:color w:val="000000"/>
                <w:kern w:val="0"/>
                <w:sz w:val="22"/>
              </w:rPr>
              <w:t>序号</w:t>
            </w:r>
          </w:p>
        </w:tc>
        <w:tc>
          <w:tcPr>
            <w:tcW w:w="1487" w:type="dxa"/>
            <w:shd w:val="clear" w:color="auto" w:fill="auto"/>
            <w:vAlign w:val="center"/>
          </w:tcPr>
          <w:p>
            <w:pPr>
              <w:widowControl/>
              <w:adjustRightInd/>
              <w:snapToGrid/>
              <w:spacing w:line="240" w:lineRule="auto"/>
              <w:jc w:val="center"/>
              <w:rPr>
                <w:rFonts w:eastAsia="宋体"/>
                <w:b/>
                <w:color w:val="000000"/>
                <w:kern w:val="0"/>
                <w:sz w:val="22"/>
              </w:rPr>
            </w:pPr>
            <w:r>
              <w:rPr>
                <w:rFonts w:hint="eastAsia" w:eastAsia="宋体"/>
                <w:b/>
                <w:color w:val="000000"/>
                <w:kern w:val="0"/>
                <w:sz w:val="22"/>
              </w:rPr>
              <w:t>产污环节</w:t>
            </w:r>
          </w:p>
        </w:tc>
        <w:tc>
          <w:tcPr>
            <w:tcW w:w="2118" w:type="dxa"/>
            <w:shd w:val="clear" w:color="auto" w:fill="auto"/>
            <w:vAlign w:val="center"/>
          </w:tcPr>
          <w:p>
            <w:pPr>
              <w:widowControl/>
              <w:adjustRightInd/>
              <w:snapToGrid/>
              <w:spacing w:line="240" w:lineRule="auto"/>
              <w:jc w:val="center"/>
              <w:rPr>
                <w:rFonts w:eastAsia="宋体"/>
                <w:b/>
                <w:color w:val="000000"/>
                <w:kern w:val="0"/>
                <w:sz w:val="22"/>
              </w:rPr>
            </w:pPr>
            <w:r>
              <w:rPr>
                <w:rFonts w:eastAsia="宋体"/>
                <w:b/>
                <w:color w:val="000000"/>
                <w:kern w:val="0"/>
                <w:sz w:val="22"/>
              </w:rPr>
              <w:t>污染物种类</w:t>
            </w:r>
          </w:p>
        </w:tc>
        <w:tc>
          <w:tcPr>
            <w:tcW w:w="1136" w:type="dxa"/>
            <w:shd w:val="clear" w:color="auto" w:fill="auto"/>
            <w:vAlign w:val="center"/>
          </w:tcPr>
          <w:p>
            <w:pPr>
              <w:widowControl/>
              <w:adjustRightInd/>
              <w:snapToGrid/>
              <w:spacing w:line="240" w:lineRule="auto"/>
              <w:jc w:val="center"/>
              <w:rPr>
                <w:rFonts w:eastAsia="宋体"/>
                <w:b/>
                <w:color w:val="000000"/>
                <w:kern w:val="0"/>
                <w:sz w:val="22"/>
              </w:rPr>
            </w:pPr>
            <w:r>
              <w:rPr>
                <w:rFonts w:eastAsia="宋体"/>
                <w:b/>
                <w:color w:val="000000"/>
                <w:kern w:val="0"/>
                <w:sz w:val="22"/>
              </w:rPr>
              <w:t>排放形式</w:t>
            </w:r>
          </w:p>
        </w:tc>
        <w:tc>
          <w:tcPr>
            <w:tcW w:w="1987" w:type="dxa"/>
            <w:shd w:val="clear" w:color="auto" w:fill="auto"/>
            <w:vAlign w:val="center"/>
          </w:tcPr>
          <w:p>
            <w:pPr>
              <w:widowControl/>
              <w:adjustRightInd/>
              <w:snapToGrid/>
              <w:spacing w:line="240" w:lineRule="auto"/>
              <w:jc w:val="center"/>
              <w:rPr>
                <w:rFonts w:eastAsia="宋体"/>
                <w:b/>
                <w:color w:val="000000"/>
                <w:kern w:val="0"/>
                <w:sz w:val="22"/>
              </w:rPr>
            </w:pPr>
            <w:r>
              <w:rPr>
                <w:rFonts w:eastAsia="宋体"/>
                <w:b/>
                <w:color w:val="000000"/>
                <w:kern w:val="0"/>
                <w:sz w:val="22"/>
              </w:rPr>
              <w:t>治理设施</w:t>
            </w:r>
          </w:p>
        </w:tc>
        <w:tc>
          <w:tcPr>
            <w:tcW w:w="1420" w:type="dxa"/>
            <w:shd w:val="clear" w:color="auto" w:fill="auto"/>
            <w:vAlign w:val="center"/>
          </w:tcPr>
          <w:p>
            <w:pPr>
              <w:widowControl/>
              <w:adjustRightInd/>
              <w:snapToGrid/>
              <w:spacing w:line="240" w:lineRule="auto"/>
              <w:jc w:val="center"/>
              <w:rPr>
                <w:rFonts w:eastAsia="宋体"/>
                <w:b/>
                <w:color w:val="000000"/>
                <w:kern w:val="0"/>
                <w:sz w:val="22"/>
              </w:rPr>
            </w:pPr>
            <w:r>
              <w:rPr>
                <w:rFonts w:eastAsia="宋体"/>
                <w:b/>
                <w:color w:val="000000"/>
                <w:kern w:val="0"/>
                <w:sz w:val="22"/>
              </w:rPr>
              <w:t>工艺</w:t>
            </w:r>
            <w:r>
              <w:rPr>
                <w:rFonts w:hint="eastAsia" w:eastAsia="宋体"/>
                <w:b/>
                <w:color w:val="000000"/>
                <w:kern w:val="0"/>
                <w:sz w:val="22"/>
              </w:rPr>
              <w:t>原理</w:t>
            </w:r>
          </w:p>
        </w:tc>
        <w:tc>
          <w:tcPr>
            <w:tcW w:w="1301" w:type="dxa"/>
            <w:shd w:val="clear" w:color="auto" w:fill="auto"/>
            <w:vAlign w:val="center"/>
          </w:tcPr>
          <w:p>
            <w:pPr>
              <w:widowControl/>
              <w:adjustRightInd/>
              <w:snapToGrid/>
              <w:spacing w:line="240" w:lineRule="auto"/>
              <w:jc w:val="center"/>
              <w:rPr>
                <w:rFonts w:eastAsia="宋体"/>
                <w:b/>
                <w:color w:val="000000"/>
                <w:kern w:val="0"/>
                <w:sz w:val="22"/>
              </w:rPr>
            </w:pPr>
            <w:r>
              <w:rPr>
                <w:rFonts w:eastAsia="宋体"/>
                <w:b/>
                <w:color w:val="000000"/>
                <w:kern w:val="0"/>
                <w:sz w:val="22"/>
              </w:rPr>
              <w:t>设计指标</w:t>
            </w:r>
          </w:p>
        </w:tc>
        <w:tc>
          <w:tcPr>
            <w:tcW w:w="1679" w:type="dxa"/>
            <w:shd w:val="clear" w:color="auto" w:fill="auto"/>
            <w:vAlign w:val="center"/>
          </w:tcPr>
          <w:p>
            <w:pPr>
              <w:widowControl/>
              <w:adjustRightInd/>
              <w:snapToGrid/>
              <w:spacing w:line="240" w:lineRule="auto"/>
              <w:jc w:val="center"/>
              <w:rPr>
                <w:rFonts w:eastAsia="宋体"/>
                <w:b/>
                <w:color w:val="000000"/>
                <w:kern w:val="0"/>
                <w:sz w:val="22"/>
              </w:rPr>
            </w:pPr>
            <w:r>
              <w:rPr>
                <w:rFonts w:eastAsia="宋体"/>
                <w:b/>
                <w:color w:val="000000"/>
                <w:kern w:val="0"/>
                <w:sz w:val="22"/>
              </w:rPr>
              <w:t>排气筒高度与内径尺寸</w:t>
            </w:r>
          </w:p>
        </w:tc>
        <w:tc>
          <w:tcPr>
            <w:tcW w:w="864" w:type="dxa"/>
            <w:shd w:val="clear" w:color="auto" w:fill="auto"/>
            <w:vAlign w:val="center"/>
          </w:tcPr>
          <w:p>
            <w:pPr>
              <w:widowControl/>
              <w:adjustRightInd/>
              <w:snapToGrid/>
              <w:spacing w:line="240" w:lineRule="auto"/>
              <w:jc w:val="center"/>
              <w:rPr>
                <w:rFonts w:eastAsia="宋体"/>
                <w:b/>
                <w:color w:val="000000"/>
                <w:kern w:val="0"/>
                <w:sz w:val="22"/>
              </w:rPr>
            </w:pPr>
            <w:r>
              <w:rPr>
                <w:rFonts w:eastAsia="宋体"/>
                <w:b/>
                <w:color w:val="000000"/>
                <w:kern w:val="0"/>
                <w:sz w:val="22"/>
              </w:rPr>
              <w:t>排放去向</w:t>
            </w:r>
          </w:p>
        </w:tc>
        <w:tc>
          <w:tcPr>
            <w:tcW w:w="1419" w:type="dxa"/>
            <w:shd w:val="clear" w:color="auto" w:fill="auto"/>
            <w:vAlign w:val="center"/>
          </w:tcPr>
          <w:p>
            <w:pPr>
              <w:widowControl/>
              <w:adjustRightInd/>
              <w:snapToGrid/>
              <w:spacing w:line="240" w:lineRule="auto"/>
              <w:jc w:val="center"/>
              <w:rPr>
                <w:rFonts w:eastAsia="宋体"/>
                <w:b/>
                <w:color w:val="000000"/>
                <w:kern w:val="0"/>
                <w:sz w:val="22"/>
              </w:rPr>
            </w:pPr>
            <w:r>
              <w:rPr>
                <w:rFonts w:eastAsia="宋体"/>
                <w:b/>
                <w:color w:val="000000"/>
                <w:kern w:val="0"/>
                <w:sz w:val="22"/>
              </w:rPr>
              <w:t>治理设施监测点设置或开孔情况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776" w:type="dxa"/>
            <w:vMerge w:val="restart"/>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1</w:t>
            </w:r>
          </w:p>
        </w:tc>
        <w:tc>
          <w:tcPr>
            <w:tcW w:w="1487" w:type="dxa"/>
            <w:vMerge w:val="restart"/>
            <w:shd w:val="clear" w:color="auto" w:fill="auto"/>
            <w:vAlign w:val="center"/>
          </w:tcPr>
          <w:p>
            <w:pPr>
              <w:widowControl/>
              <w:spacing w:line="240" w:lineRule="auto"/>
              <w:jc w:val="center"/>
              <w:rPr>
                <w:sz w:val="21"/>
              </w:rPr>
            </w:pPr>
            <w:r>
              <w:rPr>
                <w:rFonts w:hint="eastAsia"/>
                <w:bCs/>
                <w:sz w:val="21"/>
              </w:rPr>
              <w:t>纸面石膏板贴面工序</w:t>
            </w:r>
          </w:p>
        </w:tc>
        <w:tc>
          <w:tcPr>
            <w:tcW w:w="2118" w:type="dxa"/>
            <w:vMerge w:val="restart"/>
            <w:shd w:val="clear" w:color="auto" w:fill="auto"/>
            <w:vAlign w:val="center"/>
          </w:tcPr>
          <w:p>
            <w:pPr>
              <w:widowControl/>
              <w:adjustRightInd/>
              <w:snapToGrid/>
              <w:spacing w:line="240" w:lineRule="auto"/>
              <w:jc w:val="center"/>
              <w:rPr>
                <w:rFonts w:eastAsia="宋体"/>
                <w:color w:val="000000"/>
                <w:kern w:val="0"/>
                <w:sz w:val="21"/>
                <w:szCs w:val="21"/>
              </w:rPr>
            </w:pPr>
            <w:r>
              <w:rPr>
                <w:rFonts w:hint="eastAsia" w:eastAsia="宋体"/>
                <w:color w:val="000000"/>
                <w:kern w:val="0"/>
                <w:sz w:val="21"/>
                <w:szCs w:val="21"/>
              </w:rPr>
              <w:t>非甲烷总烃</w:t>
            </w:r>
          </w:p>
        </w:tc>
        <w:tc>
          <w:tcPr>
            <w:tcW w:w="1136"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有组织</w:t>
            </w:r>
          </w:p>
        </w:tc>
        <w:tc>
          <w:tcPr>
            <w:tcW w:w="1987"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光氧催化废气处理设施</w:t>
            </w:r>
          </w:p>
        </w:tc>
        <w:tc>
          <w:tcPr>
            <w:tcW w:w="1420"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臭氧氧化</w:t>
            </w:r>
          </w:p>
        </w:tc>
        <w:tc>
          <w:tcPr>
            <w:tcW w:w="1301" w:type="dxa"/>
            <w:shd w:val="clear" w:color="auto" w:fill="auto"/>
            <w:vAlign w:val="center"/>
          </w:tcPr>
          <w:p>
            <w:pPr>
              <w:spacing w:line="240" w:lineRule="auto"/>
              <w:jc w:val="center"/>
              <w:rPr>
                <w:rFonts w:eastAsia="宋体"/>
                <w:color w:val="000000"/>
                <w:kern w:val="0"/>
                <w:sz w:val="22"/>
              </w:rPr>
            </w:pPr>
            <w:r>
              <w:rPr>
                <w:rFonts w:eastAsia="宋体"/>
                <w:color w:val="000000"/>
                <w:kern w:val="0"/>
                <w:sz w:val="22"/>
              </w:rPr>
              <w:t>去除效率</w:t>
            </w:r>
            <w:r>
              <w:rPr>
                <w:rFonts w:hint="eastAsia" w:eastAsia="宋体"/>
                <w:color w:val="000000"/>
                <w:kern w:val="0"/>
                <w:sz w:val="22"/>
              </w:rPr>
              <w:t>达80</w:t>
            </w:r>
            <w:r>
              <w:rPr>
                <w:rFonts w:eastAsia="宋体"/>
                <w:color w:val="000000"/>
                <w:kern w:val="0"/>
                <w:sz w:val="22"/>
              </w:rPr>
              <w:t>%</w:t>
            </w:r>
          </w:p>
        </w:tc>
        <w:tc>
          <w:tcPr>
            <w:tcW w:w="1679" w:type="dxa"/>
            <w:shd w:val="clear" w:color="auto" w:fill="auto"/>
            <w:vAlign w:val="center"/>
          </w:tcPr>
          <w:p>
            <w:pPr>
              <w:spacing w:line="240" w:lineRule="auto"/>
              <w:jc w:val="center"/>
              <w:rPr>
                <w:rFonts w:eastAsia="宋体"/>
                <w:color w:val="000000"/>
                <w:sz w:val="22"/>
              </w:rPr>
            </w:pPr>
            <w:r>
              <w:rPr>
                <w:color w:val="000000"/>
                <w:sz w:val="22"/>
              </w:rPr>
              <w:t>15m、Φ=0.</w:t>
            </w:r>
            <w:r>
              <w:rPr>
                <w:rFonts w:hint="eastAsia"/>
                <w:color w:val="000000"/>
                <w:sz w:val="22"/>
              </w:rPr>
              <w:t>3</w:t>
            </w:r>
            <w:r>
              <w:rPr>
                <w:color w:val="000000"/>
                <w:sz w:val="22"/>
              </w:rPr>
              <w:t>m</w:t>
            </w:r>
          </w:p>
        </w:tc>
        <w:tc>
          <w:tcPr>
            <w:tcW w:w="864" w:type="dxa"/>
            <w:vMerge w:val="restart"/>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大气</w:t>
            </w:r>
          </w:p>
        </w:tc>
        <w:tc>
          <w:tcPr>
            <w:tcW w:w="1419"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776" w:type="dxa"/>
            <w:vMerge w:val="continue"/>
            <w:shd w:val="clear" w:color="auto" w:fill="auto"/>
            <w:vAlign w:val="center"/>
          </w:tcPr>
          <w:p>
            <w:pPr>
              <w:widowControl/>
              <w:adjustRightInd/>
              <w:snapToGrid/>
              <w:spacing w:line="240" w:lineRule="auto"/>
              <w:jc w:val="center"/>
              <w:rPr>
                <w:rFonts w:eastAsia="宋体"/>
                <w:color w:val="000000"/>
                <w:kern w:val="0"/>
                <w:sz w:val="22"/>
              </w:rPr>
            </w:pPr>
          </w:p>
        </w:tc>
        <w:tc>
          <w:tcPr>
            <w:tcW w:w="1487" w:type="dxa"/>
            <w:vMerge w:val="continue"/>
            <w:shd w:val="clear" w:color="auto" w:fill="auto"/>
            <w:vAlign w:val="center"/>
          </w:tcPr>
          <w:p>
            <w:pPr>
              <w:widowControl/>
              <w:spacing w:line="240" w:lineRule="auto"/>
              <w:jc w:val="center"/>
              <w:rPr>
                <w:bCs/>
                <w:sz w:val="21"/>
              </w:rPr>
            </w:pPr>
          </w:p>
        </w:tc>
        <w:tc>
          <w:tcPr>
            <w:tcW w:w="2118" w:type="dxa"/>
            <w:vMerge w:val="continue"/>
            <w:shd w:val="clear" w:color="auto" w:fill="auto"/>
            <w:vAlign w:val="center"/>
          </w:tcPr>
          <w:p>
            <w:pPr>
              <w:spacing w:line="240" w:lineRule="auto"/>
              <w:jc w:val="center"/>
              <w:rPr>
                <w:rFonts w:eastAsia="宋体"/>
                <w:color w:val="000000"/>
                <w:kern w:val="0"/>
                <w:sz w:val="21"/>
                <w:szCs w:val="21"/>
              </w:rPr>
            </w:pPr>
          </w:p>
        </w:tc>
        <w:tc>
          <w:tcPr>
            <w:tcW w:w="1136"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无组织</w:t>
            </w:r>
          </w:p>
        </w:tc>
        <w:tc>
          <w:tcPr>
            <w:tcW w:w="1987"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加强通风</w:t>
            </w:r>
          </w:p>
        </w:tc>
        <w:tc>
          <w:tcPr>
            <w:tcW w:w="1420"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1301"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1679" w:type="dxa"/>
            <w:shd w:val="clear" w:color="auto" w:fill="auto"/>
            <w:vAlign w:val="center"/>
          </w:tcPr>
          <w:p>
            <w:pPr>
              <w:spacing w:line="240" w:lineRule="auto"/>
              <w:jc w:val="center"/>
              <w:rPr>
                <w:color w:val="000000"/>
                <w:sz w:val="22"/>
              </w:rPr>
            </w:pPr>
            <w:r>
              <w:rPr>
                <w:rFonts w:hint="eastAsia"/>
                <w:color w:val="000000"/>
                <w:sz w:val="22"/>
              </w:rPr>
              <w:t>—</w:t>
            </w:r>
          </w:p>
        </w:tc>
        <w:tc>
          <w:tcPr>
            <w:tcW w:w="864" w:type="dxa"/>
            <w:vMerge w:val="continue"/>
            <w:shd w:val="clear" w:color="auto" w:fill="auto"/>
            <w:vAlign w:val="center"/>
          </w:tcPr>
          <w:p>
            <w:pPr>
              <w:spacing w:line="240" w:lineRule="auto"/>
              <w:jc w:val="center"/>
              <w:rPr>
                <w:rFonts w:eastAsia="宋体"/>
                <w:color w:val="000000"/>
                <w:kern w:val="0"/>
                <w:sz w:val="22"/>
              </w:rPr>
            </w:pPr>
          </w:p>
        </w:tc>
        <w:tc>
          <w:tcPr>
            <w:tcW w:w="1419"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776" w:type="dxa"/>
            <w:vMerge w:val="restart"/>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2</w:t>
            </w:r>
          </w:p>
        </w:tc>
        <w:tc>
          <w:tcPr>
            <w:tcW w:w="1487" w:type="dxa"/>
            <w:vMerge w:val="restart"/>
            <w:shd w:val="clear" w:color="auto" w:fill="auto"/>
            <w:vAlign w:val="center"/>
          </w:tcPr>
          <w:p>
            <w:pPr>
              <w:widowControl/>
              <w:spacing w:line="240" w:lineRule="auto"/>
              <w:jc w:val="center"/>
              <w:rPr>
                <w:sz w:val="21"/>
              </w:rPr>
            </w:pPr>
            <w:r>
              <w:rPr>
                <w:rFonts w:hint="eastAsia"/>
                <w:sz w:val="21"/>
              </w:rPr>
              <w:t>石膏贴面板切割工序</w:t>
            </w:r>
          </w:p>
        </w:tc>
        <w:tc>
          <w:tcPr>
            <w:tcW w:w="2118" w:type="dxa"/>
            <w:vMerge w:val="restart"/>
            <w:shd w:val="clear" w:color="auto" w:fill="auto"/>
            <w:vAlign w:val="center"/>
          </w:tcPr>
          <w:p>
            <w:pPr>
              <w:widowControl/>
              <w:adjustRightInd/>
              <w:snapToGrid/>
              <w:spacing w:line="240" w:lineRule="auto"/>
              <w:jc w:val="center"/>
              <w:rPr>
                <w:rFonts w:eastAsia="宋体"/>
                <w:color w:val="000000"/>
                <w:kern w:val="0"/>
                <w:sz w:val="21"/>
                <w:szCs w:val="21"/>
              </w:rPr>
            </w:pPr>
            <w:r>
              <w:rPr>
                <w:rFonts w:hint="eastAsia" w:eastAsia="宋体"/>
                <w:color w:val="000000"/>
                <w:kern w:val="0"/>
                <w:sz w:val="21"/>
                <w:szCs w:val="21"/>
              </w:rPr>
              <w:t>颗粒物</w:t>
            </w:r>
          </w:p>
        </w:tc>
        <w:tc>
          <w:tcPr>
            <w:tcW w:w="1136"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有组织</w:t>
            </w:r>
          </w:p>
        </w:tc>
        <w:tc>
          <w:tcPr>
            <w:tcW w:w="1987"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布袋除尘器</w:t>
            </w:r>
          </w:p>
        </w:tc>
        <w:tc>
          <w:tcPr>
            <w:tcW w:w="1420"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布袋过滤</w:t>
            </w:r>
          </w:p>
        </w:tc>
        <w:tc>
          <w:tcPr>
            <w:tcW w:w="1301" w:type="dxa"/>
            <w:shd w:val="clear" w:color="auto" w:fill="auto"/>
            <w:vAlign w:val="center"/>
          </w:tcPr>
          <w:p>
            <w:pPr>
              <w:spacing w:line="240" w:lineRule="auto"/>
              <w:jc w:val="center"/>
              <w:rPr>
                <w:rFonts w:eastAsia="宋体"/>
                <w:color w:val="000000"/>
                <w:kern w:val="0"/>
                <w:sz w:val="22"/>
              </w:rPr>
            </w:pPr>
            <w:r>
              <w:rPr>
                <w:rFonts w:eastAsia="宋体"/>
                <w:color w:val="000000"/>
                <w:kern w:val="0"/>
                <w:sz w:val="22"/>
              </w:rPr>
              <w:t>去除效率</w:t>
            </w:r>
            <w:r>
              <w:rPr>
                <w:rFonts w:hint="eastAsia" w:eastAsia="宋体"/>
                <w:color w:val="000000"/>
                <w:kern w:val="0"/>
                <w:sz w:val="22"/>
              </w:rPr>
              <w:t>达</w:t>
            </w:r>
            <w:r>
              <w:rPr>
                <w:rFonts w:eastAsia="宋体"/>
                <w:color w:val="000000"/>
                <w:kern w:val="0"/>
                <w:sz w:val="22"/>
              </w:rPr>
              <w:t>9</w:t>
            </w:r>
            <w:r>
              <w:rPr>
                <w:rFonts w:hint="eastAsia" w:eastAsia="宋体"/>
                <w:color w:val="000000"/>
                <w:kern w:val="0"/>
                <w:sz w:val="22"/>
              </w:rPr>
              <w:t>9</w:t>
            </w:r>
            <w:r>
              <w:rPr>
                <w:rFonts w:eastAsia="宋体"/>
                <w:color w:val="000000"/>
                <w:kern w:val="0"/>
                <w:sz w:val="22"/>
              </w:rPr>
              <w:t>%</w:t>
            </w:r>
          </w:p>
        </w:tc>
        <w:tc>
          <w:tcPr>
            <w:tcW w:w="1679" w:type="dxa"/>
            <w:shd w:val="clear" w:color="auto" w:fill="auto"/>
            <w:vAlign w:val="center"/>
          </w:tcPr>
          <w:p>
            <w:pPr>
              <w:spacing w:line="240" w:lineRule="auto"/>
              <w:jc w:val="center"/>
              <w:rPr>
                <w:rFonts w:eastAsia="宋体"/>
                <w:color w:val="000000"/>
                <w:sz w:val="22"/>
              </w:rPr>
            </w:pPr>
            <w:r>
              <w:rPr>
                <w:color w:val="000000"/>
                <w:sz w:val="22"/>
              </w:rPr>
              <w:t>15m、Φ=0.</w:t>
            </w:r>
            <w:r>
              <w:rPr>
                <w:rFonts w:hint="eastAsia"/>
                <w:color w:val="000000"/>
                <w:sz w:val="22"/>
              </w:rPr>
              <w:t>25</w:t>
            </w:r>
            <w:r>
              <w:rPr>
                <w:color w:val="000000"/>
                <w:sz w:val="22"/>
              </w:rPr>
              <w:t>m</w:t>
            </w:r>
          </w:p>
        </w:tc>
        <w:tc>
          <w:tcPr>
            <w:tcW w:w="864" w:type="dxa"/>
            <w:vMerge w:val="restart"/>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大气</w:t>
            </w:r>
          </w:p>
        </w:tc>
        <w:tc>
          <w:tcPr>
            <w:tcW w:w="1419" w:type="dxa"/>
            <w:shd w:val="clear" w:color="auto" w:fill="auto"/>
            <w:vAlign w:val="center"/>
          </w:tcPr>
          <w:p>
            <w:pPr>
              <w:spacing w:line="240" w:lineRule="auto"/>
              <w:jc w:val="center"/>
            </w:pPr>
            <w:r>
              <w:rPr>
                <w:rFonts w:eastAsia="宋体"/>
                <w:color w:val="000000"/>
                <w:kern w:val="0"/>
                <w:sz w:val="22"/>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776" w:type="dxa"/>
            <w:vMerge w:val="continue"/>
            <w:shd w:val="clear" w:color="auto" w:fill="auto"/>
            <w:vAlign w:val="center"/>
          </w:tcPr>
          <w:p>
            <w:pPr>
              <w:widowControl/>
              <w:adjustRightInd/>
              <w:snapToGrid/>
              <w:spacing w:line="240" w:lineRule="auto"/>
              <w:jc w:val="center"/>
              <w:rPr>
                <w:rFonts w:eastAsia="宋体"/>
                <w:color w:val="000000"/>
                <w:kern w:val="0"/>
                <w:sz w:val="22"/>
              </w:rPr>
            </w:pPr>
          </w:p>
        </w:tc>
        <w:tc>
          <w:tcPr>
            <w:tcW w:w="1487" w:type="dxa"/>
            <w:vMerge w:val="continue"/>
            <w:shd w:val="clear" w:color="auto" w:fill="auto"/>
            <w:vAlign w:val="center"/>
          </w:tcPr>
          <w:p>
            <w:pPr>
              <w:widowControl/>
              <w:spacing w:line="240" w:lineRule="auto"/>
              <w:jc w:val="center"/>
              <w:rPr>
                <w:sz w:val="21"/>
              </w:rPr>
            </w:pPr>
          </w:p>
        </w:tc>
        <w:tc>
          <w:tcPr>
            <w:tcW w:w="2118" w:type="dxa"/>
            <w:vMerge w:val="continue"/>
            <w:shd w:val="clear" w:color="auto" w:fill="auto"/>
            <w:vAlign w:val="center"/>
          </w:tcPr>
          <w:p>
            <w:pPr>
              <w:widowControl/>
              <w:adjustRightInd/>
              <w:snapToGrid/>
              <w:spacing w:line="240" w:lineRule="auto"/>
              <w:jc w:val="center"/>
              <w:rPr>
                <w:rFonts w:eastAsia="宋体"/>
                <w:color w:val="000000"/>
                <w:kern w:val="0"/>
                <w:sz w:val="21"/>
                <w:szCs w:val="21"/>
              </w:rPr>
            </w:pPr>
          </w:p>
        </w:tc>
        <w:tc>
          <w:tcPr>
            <w:tcW w:w="1136"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无组织</w:t>
            </w:r>
          </w:p>
        </w:tc>
        <w:tc>
          <w:tcPr>
            <w:tcW w:w="1987"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加强通风</w:t>
            </w:r>
          </w:p>
        </w:tc>
        <w:tc>
          <w:tcPr>
            <w:tcW w:w="1420"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1301"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1679"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864" w:type="dxa"/>
            <w:vMerge w:val="continue"/>
            <w:shd w:val="clear" w:color="auto" w:fill="auto"/>
            <w:vAlign w:val="center"/>
          </w:tcPr>
          <w:p>
            <w:pPr>
              <w:widowControl/>
              <w:adjustRightInd/>
              <w:snapToGrid/>
              <w:spacing w:line="240" w:lineRule="auto"/>
              <w:jc w:val="center"/>
              <w:rPr>
                <w:rFonts w:eastAsia="宋体"/>
                <w:color w:val="000000"/>
                <w:kern w:val="0"/>
                <w:sz w:val="22"/>
              </w:rPr>
            </w:pPr>
          </w:p>
        </w:tc>
        <w:tc>
          <w:tcPr>
            <w:tcW w:w="1419"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776"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3</w:t>
            </w:r>
          </w:p>
        </w:tc>
        <w:tc>
          <w:tcPr>
            <w:tcW w:w="1487" w:type="dxa"/>
            <w:shd w:val="clear" w:color="auto" w:fill="auto"/>
            <w:vAlign w:val="center"/>
          </w:tcPr>
          <w:p>
            <w:pPr>
              <w:widowControl/>
              <w:spacing w:line="240" w:lineRule="auto"/>
              <w:jc w:val="center"/>
              <w:rPr>
                <w:sz w:val="21"/>
              </w:rPr>
            </w:pPr>
            <w:r>
              <w:rPr>
                <w:rFonts w:hint="eastAsia"/>
                <w:bCs/>
                <w:sz w:val="21"/>
              </w:rPr>
              <w:t>石膏粉筒仓进料</w:t>
            </w:r>
          </w:p>
        </w:tc>
        <w:tc>
          <w:tcPr>
            <w:tcW w:w="2118" w:type="dxa"/>
            <w:shd w:val="clear" w:color="auto" w:fill="auto"/>
            <w:vAlign w:val="center"/>
          </w:tcPr>
          <w:p>
            <w:pPr>
              <w:widowControl/>
              <w:adjustRightInd/>
              <w:snapToGrid/>
              <w:spacing w:line="240" w:lineRule="auto"/>
              <w:jc w:val="center"/>
              <w:rPr>
                <w:rFonts w:eastAsia="宋体"/>
                <w:color w:val="000000"/>
                <w:kern w:val="0"/>
                <w:sz w:val="21"/>
                <w:szCs w:val="21"/>
              </w:rPr>
            </w:pPr>
            <w:r>
              <w:rPr>
                <w:rFonts w:hint="eastAsia" w:eastAsia="宋体"/>
                <w:color w:val="000000"/>
                <w:kern w:val="0"/>
                <w:sz w:val="21"/>
                <w:szCs w:val="21"/>
              </w:rPr>
              <w:t>粉尘</w:t>
            </w:r>
          </w:p>
        </w:tc>
        <w:tc>
          <w:tcPr>
            <w:tcW w:w="1136"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无组织</w:t>
            </w:r>
          </w:p>
        </w:tc>
        <w:tc>
          <w:tcPr>
            <w:tcW w:w="1987"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密闭传送带</w:t>
            </w:r>
          </w:p>
        </w:tc>
        <w:tc>
          <w:tcPr>
            <w:tcW w:w="1420"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1301"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1679"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864"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大气</w:t>
            </w:r>
          </w:p>
        </w:tc>
        <w:tc>
          <w:tcPr>
            <w:tcW w:w="1419"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776"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4</w:t>
            </w:r>
          </w:p>
        </w:tc>
        <w:tc>
          <w:tcPr>
            <w:tcW w:w="1487" w:type="dxa"/>
            <w:shd w:val="clear" w:color="auto" w:fill="auto"/>
            <w:vAlign w:val="center"/>
          </w:tcPr>
          <w:p>
            <w:pPr>
              <w:widowControl/>
              <w:spacing w:line="240" w:lineRule="auto"/>
              <w:jc w:val="center"/>
              <w:rPr>
                <w:bCs/>
                <w:sz w:val="21"/>
              </w:rPr>
            </w:pPr>
            <w:r>
              <w:rPr>
                <w:rFonts w:hint="eastAsia"/>
                <w:bCs/>
                <w:sz w:val="21"/>
              </w:rPr>
              <w:t>石膏浆液搅拌</w:t>
            </w:r>
          </w:p>
        </w:tc>
        <w:tc>
          <w:tcPr>
            <w:tcW w:w="2118" w:type="dxa"/>
            <w:shd w:val="clear" w:color="auto" w:fill="auto"/>
            <w:vAlign w:val="center"/>
          </w:tcPr>
          <w:p>
            <w:pPr>
              <w:widowControl/>
              <w:adjustRightInd/>
              <w:snapToGrid/>
              <w:spacing w:line="240" w:lineRule="auto"/>
              <w:jc w:val="center"/>
              <w:rPr>
                <w:rFonts w:eastAsia="宋体"/>
                <w:color w:val="000000"/>
                <w:kern w:val="0"/>
                <w:sz w:val="21"/>
                <w:szCs w:val="21"/>
              </w:rPr>
            </w:pPr>
            <w:r>
              <w:rPr>
                <w:rFonts w:hint="eastAsia" w:eastAsia="宋体"/>
                <w:color w:val="000000"/>
                <w:kern w:val="0"/>
                <w:sz w:val="21"/>
                <w:szCs w:val="21"/>
              </w:rPr>
              <w:t>粉尘</w:t>
            </w:r>
          </w:p>
        </w:tc>
        <w:tc>
          <w:tcPr>
            <w:tcW w:w="1136"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无组织</w:t>
            </w:r>
          </w:p>
        </w:tc>
        <w:tc>
          <w:tcPr>
            <w:tcW w:w="1987"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密闭搅拌机、加强通风</w:t>
            </w:r>
          </w:p>
        </w:tc>
        <w:tc>
          <w:tcPr>
            <w:tcW w:w="1420"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1301"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1679"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864"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大气</w:t>
            </w:r>
          </w:p>
        </w:tc>
        <w:tc>
          <w:tcPr>
            <w:tcW w:w="1419"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776" w:type="dxa"/>
            <w:shd w:val="clear" w:color="auto" w:fill="auto"/>
            <w:vAlign w:val="center"/>
          </w:tcPr>
          <w:p>
            <w:pPr>
              <w:widowControl/>
              <w:adjustRightInd/>
              <w:snapToGrid/>
              <w:spacing w:line="240" w:lineRule="auto"/>
              <w:jc w:val="center"/>
              <w:rPr>
                <w:rFonts w:eastAsia="宋体"/>
                <w:color w:val="000000"/>
                <w:kern w:val="0"/>
                <w:sz w:val="22"/>
                <w:highlight w:val="yellow"/>
              </w:rPr>
            </w:pPr>
            <w:r>
              <w:rPr>
                <w:rFonts w:hint="eastAsia" w:eastAsia="宋体"/>
                <w:color w:val="000000"/>
                <w:kern w:val="0"/>
                <w:sz w:val="22"/>
              </w:rPr>
              <w:t>5</w:t>
            </w:r>
          </w:p>
        </w:tc>
        <w:tc>
          <w:tcPr>
            <w:tcW w:w="1487" w:type="dxa"/>
            <w:shd w:val="clear" w:color="auto" w:fill="auto"/>
            <w:vAlign w:val="center"/>
          </w:tcPr>
          <w:p>
            <w:pPr>
              <w:widowControl/>
              <w:adjustRightInd/>
              <w:snapToGrid/>
              <w:spacing w:line="240" w:lineRule="auto"/>
              <w:jc w:val="center"/>
              <w:rPr>
                <w:rFonts w:eastAsia="宋体"/>
                <w:color w:val="000000"/>
                <w:kern w:val="0"/>
                <w:sz w:val="21"/>
                <w:szCs w:val="21"/>
              </w:rPr>
            </w:pPr>
            <w:r>
              <w:rPr>
                <w:rFonts w:hint="eastAsia" w:eastAsia="宋体"/>
                <w:bCs/>
                <w:color w:val="000000"/>
                <w:kern w:val="0"/>
                <w:sz w:val="21"/>
                <w:szCs w:val="21"/>
              </w:rPr>
              <w:t>焊接工序</w:t>
            </w:r>
          </w:p>
        </w:tc>
        <w:tc>
          <w:tcPr>
            <w:tcW w:w="2118" w:type="dxa"/>
            <w:shd w:val="clear" w:color="auto" w:fill="auto"/>
            <w:vAlign w:val="center"/>
          </w:tcPr>
          <w:p>
            <w:pPr>
              <w:widowControl/>
              <w:adjustRightInd/>
              <w:snapToGrid/>
              <w:spacing w:line="240" w:lineRule="auto"/>
              <w:jc w:val="center"/>
              <w:rPr>
                <w:rFonts w:eastAsia="宋体"/>
                <w:color w:val="000000"/>
                <w:kern w:val="0"/>
                <w:sz w:val="21"/>
                <w:szCs w:val="21"/>
              </w:rPr>
            </w:pPr>
            <w:r>
              <w:rPr>
                <w:rFonts w:hint="eastAsia" w:eastAsia="宋体"/>
                <w:color w:val="000000"/>
                <w:kern w:val="0"/>
                <w:sz w:val="21"/>
                <w:szCs w:val="21"/>
              </w:rPr>
              <w:t>粉尘</w:t>
            </w:r>
          </w:p>
        </w:tc>
        <w:tc>
          <w:tcPr>
            <w:tcW w:w="1136" w:type="dxa"/>
            <w:shd w:val="clear" w:color="auto" w:fill="auto"/>
            <w:vAlign w:val="center"/>
          </w:tcPr>
          <w:p>
            <w:pPr>
              <w:widowControl/>
              <w:adjustRightInd/>
              <w:snapToGrid/>
              <w:spacing w:line="240" w:lineRule="auto"/>
              <w:jc w:val="center"/>
              <w:rPr>
                <w:rFonts w:eastAsia="宋体"/>
                <w:color w:val="000000"/>
                <w:kern w:val="0"/>
                <w:sz w:val="21"/>
                <w:szCs w:val="21"/>
              </w:rPr>
            </w:pPr>
            <w:r>
              <w:rPr>
                <w:rFonts w:eastAsia="宋体"/>
                <w:color w:val="000000"/>
                <w:kern w:val="0"/>
                <w:sz w:val="21"/>
                <w:szCs w:val="21"/>
              </w:rPr>
              <w:t>无组织</w:t>
            </w:r>
          </w:p>
        </w:tc>
        <w:tc>
          <w:tcPr>
            <w:tcW w:w="1987"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bCs/>
                <w:color w:val="000000"/>
                <w:kern w:val="0"/>
                <w:sz w:val="22"/>
              </w:rPr>
              <w:t>移动式焊接烟尘除尘器</w:t>
            </w:r>
          </w:p>
        </w:tc>
        <w:tc>
          <w:tcPr>
            <w:tcW w:w="1420"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滤筒过滤</w:t>
            </w:r>
          </w:p>
        </w:tc>
        <w:tc>
          <w:tcPr>
            <w:tcW w:w="1301"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1679" w:type="dxa"/>
            <w:shd w:val="clear" w:color="auto" w:fill="auto"/>
            <w:vAlign w:val="center"/>
          </w:tcPr>
          <w:p>
            <w:pPr>
              <w:spacing w:line="240" w:lineRule="auto"/>
              <w:jc w:val="center"/>
              <w:rPr>
                <w:rFonts w:eastAsia="宋体"/>
                <w:color w:val="000000"/>
                <w:kern w:val="0"/>
                <w:sz w:val="22"/>
              </w:rPr>
            </w:pPr>
            <w:r>
              <w:rPr>
                <w:rFonts w:hint="eastAsia" w:eastAsia="宋体"/>
                <w:color w:val="000000"/>
                <w:kern w:val="0"/>
                <w:sz w:val="22"/>
              </w:rPr>
              <w:t>—</w:t>
            </w:r>
          </w:p>
        </w:tc>
        <w:tc>
          <w:tcPr>
            <w:tcW w:w="864"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大气</w:t>
            </w:r>
          </w:p>
        </w:tc>
        <w:tc>
          <w:tcPr>
            <w:tcW w:w="1419"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w:t>
            </w:r>
          </w:p>
        </w:tc>
      </w:tr>
    </w:tbl>
    <w:p>
      <w:pPr>
        <w:pStyle w:val="4"/>
        <w:spacing w:before="70"/>
      </w:pPr>
    </w:p>
    <w:p>
      <w:pPr>
        <w:pStyle w:val="4"/>
        <w:spacing w:before="70"/>
      </w:pPr>
    </w:p>
    <w:p>
      <w:pPr>
        <w:pStyle w:val="4"/>
        <w:spacing w:before="70"/>
      </w:pPr>
    </w:p>
    <w:p>
      <w:pPr>
        <w:pStyle w:val="4"/>
        <w:spacing w:before="70"/>
        <w:sectPr>
          <w:pgSz w:w="16838" w:h="11906" w:orient="landscape"/>
          <w:pgMar w:top="1588" w:right="1440" w:bottom="1588" w:left="1191" w:header="850" w:footer="992" w:gutter="0"/>
          <w:cols w:space="425" w:num="1"/>
          <w:docGrid w:type="lines" w:linePitch="354" w:charSpace="0"/>
        </w:sectPr>
      </w:pPr>
    </w:p>
    <w:p>
      <w:pPr>
        <w:pStyle w:val="4"/>
        <w:spacing w:before="70"/>
        <w:rPr>
          <w:color w:val="3E3E3E"/>
        </w:rPr>
      </w:pPr>
      <w:r>
        <w:t>4.1.3噪声</w:t>
      </w:r>
      <w:bookmarkEnd w:id="50"/>
      <w:bookmarkEnd w:id="51"/>
    </w:p>
    <w:p>
      <w:pPr>
        <w:ind w:firstLine="520"/>
      </w:pPr>
      <w:r>
        <w:rPr>
          <w:rFonts w:hint="eastAsia" w:asciiTheme="minorEastAsia" w:hAnsiTheme="minorEastAsia"/>
        </w:rPr>
        <w:t>该项目噪声主要为双面贴膜机、切割锯、包边机、包装流水线、码垛机、石膏线条生产线、搅拌机、切割机和各类机械加工车床等设备运转产生的噪声。</w:t>
      </w:r>
      <w:r>
        <w:rPr>
          <w:rFonts w:hint="eastAsia"/>
        </w:rPr>
        <w:t>该项目通过选用低噪声设备，将生产设备全部安装在厂房内，合理布置设备位置并根据噪声源的特点分别采取减振、隔音等措施，降低噪声对周围环境的影响。</w:t>
      </w:r>
    </w:p>
    <w:p>
      <w:pPr>
        <w:spacing w:line="240" w:lineRule="auto"/>
        <w:ind w:firstLine="510"/>
        <w:jc w:val="center"/>
      </w:pPr>
      <w:r>
        <w:t>表</w:t>
      </w:r>
      <w:r>
        <w:rPr>
          <w:rFonts w:hint="eastAsia"/>
        </w:rPr>
        <w:t>4.1</w:t>
      </w:r>
      <w:r>
        <w:t>-</w:t>
      </w:r>
      <w:r>
        <w:rPr>
          <w:rFonts w:hint="eastAsia"/>
        </w:rPr>
        <w:t>3 噪声治理情况</w:t>
      </w:r>
      <w:r>
        <w:t>一览表</w:t>
      </w:r>
    </w:p>
    <w:tbl>
      <w:tblPr>
        <w:tblStyle w:val="47"/>
        <w:tblW w:w="8669"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796"/>
        <w:gridCol w:w="1514"/>
        <w:gridCol w:w="1514"/>
        <w:gridCol w:w="1514"/>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shd w:val="clear" w:color="auto" w:fill="auto"/>
            <w:vAlign w:val="center"/>
          </w:tcPr>
          <w:p>
            <w:pPr>
              <w:widowControl/>
              <w:spacing w:line="240" w:lineRule="auto"/>
              <w:jc w:val="center"/>
              <w:rPr>
                <w:b/>
                <w:sz w:val="21"/>
              </w:rPr>
            </w:pPr>
            <w:r>
              <w:rPr>
                <w:b/>
                <w:sz w:val="21"/>
              </w:rPr>
              <w:t>序号</w:t>
            </w:r>
          </w:p>
        </w:tc>
        <w:tc>
          <w:tcPr>
            <w:tcW w:w="1796" w:type="dxa"/>
            <w:shd w:val="clear" w:color="auto" w:fill="auto"/>
            <w:vAlign w:val="center"/>
          </w:tcPr>
          <w:p>
            <w:pPr>
              <w:widowControl/>
              <w:spacing w:line="240" w:lineRule="auto"/>
              <w:jc w:val="center"/>
              <w:rPr>
                <w:b/>
                <w:sz w:val="21"/>
              </w:rPr>
            </w:pPr>
            <w:r>
              <w:rPr>
                <w:b/>
                <w:sz w:val="21"/>
              </w:rPr>
              <w:t>名称</w:t>
            </w:r>
          </w:p>
        </w:tc>
        <w:tc>
          <w:tcPr>
            <w:tcW w:w="1514" w:type="dxa"/>
            <w:shd w:val="clear" w:color="auto" w:fill="auto"/>
            <w:vAlign w:val="center"/>
          </w:tcPr>
          <w:p>
            <w:pPr>
              <w:widowControl/>
              <w:spacing w:line="240" w:lineRule="auto"/>
              <w:jc w:val="center"/>
              <w:rPr>
                <w:b/>
                <w:sz w:val="21"/>
              </w:rPr>
            </w:pPr>
            <w:r>
              <w:rPr>
                <w:b/>
                <w:sz w:val="21"/>
              </w:rPr>
              <w:t>源强值</w:t>
            </w:r>
          </w:p>
        </w:tc>
        <w:tc>
          <w:tcPr>
            <w:tcW w:w="1514" w:type="dxa"/>
            <w:shd w:val="clear" w:color="auto" w:fill="auto"/>
            <w:vAlign w:val="center"/>
          </w:tcPr>
          <w:p>
            <w:pPr>
              <w:widowControl/>
              <w:spacing w:line="240" w:lineRule="auto"/>
              <w:jc w:val="center"/>
              <w:rPr>
                <w:b/>
                <w:sz w:val="21"/>
              </w:rPr>
            </w:pPr>
            <w:r>
              <w:rPr>
                <w:rFonts w:hint="eastAsia"/>
                <w:b/>
                <w:sz w:val="21"/>
              </w:rPr>
              <w:t>数量（台）</w:t>
            </w:r>
          </w:p>
        </w:tc>
        <w:tc>
          <w:tcPr>
            <w:tcW w:w="1514" w:type="dxa"/>
            <w:shd w:val="clear" w:color="auto" w:fill="auto"/>
            <w:vAlign w:val="center"/>
          </w:tcPr>
          <w:p>
            <w:pPr>
              <w:widowControl/>
              <w:spacing w:line="240" w:lineRule="auto"/>
              <w:jc w:val="center"/>
              <w:rPr>
                <w:b/>
                <w:sz w:val="21"/>
              </w:rPr>
            </w:pPr>
            <w:r>
              <w:rPr>
                <w:b/>
                <w:sz w:val="21"/>
              </w:rPr>
              <w:t>排放规律</w:t>
            </w:r>
          </w:p>
        </w:tc>
        <w:tc>
          <w:tcPr>
            <w:tcW w:w="1510" w:type="dxa"/>
            <w:shd w:val="clear" w:color="auto" w:fill="auto"/>
            <w:vAlign w:val="center"/>
          </w:tcPr>
          <w:p>
            <w:pPr>
              <w:widowControl/>
              <w:spacing w:line="240" w:lineRule="auto"/>
              <w:jc w:val="center"/>
              <w:rPr>
                <w:b/>
                <w:sz w:val="21"/>
              </w:rPr>
            </w:pPr>
            <w:r>
              <w:rPr>
                <w:rFonts w:hint="eastAsia"/>
                <w:b/>
                <w:sz w:val="21"/>
              </w:rPr>
              <w:t>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sz w:val="21"/>
                <w:szCs w:val="21"/>
              </w:rPr>
              <w:t>1</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双面贴膜机</w:t>
            </w:r>
          </w:p>
        </w:tc>
        <w:tc>
          <w:tcPr>
            <w:tcW w:w="1514" w:type="dxa"/>
            <w:vAlign w:val="center"/>
          </w:tcPr>
          <w:p>
            <w:pPr>
              <w:spacing w:line="240" w:lineRule="auto"/>
              <w:jc w:val="center"/>
              <w:rPr>
                <w:sz w:val="21"/>
                <w:szCs w:val="21"/>
              </w:rPr>
            </w:pPr>
            <w:r>
              <w:rPr>
                <w:rFonts w:hint="eastAsia"/>
                <w:sz w:val="21"/>
                <w:szCs w:val="21"/>
              </w:rPr>
              <w:t>75</w:t>
            </w:r>
            <w:r>
              <w:rPr>
                <w:sz w:val="21"/>
                <w:szCs w:val="21"/>
              </w:rPr>
              <w:t>dB(A)</w:t>
            </w:r>
          </w:p>
        </w:tc>
        <w:tc>
          <w:tcPr>
            <w:tcW w:w="1514" w:type="dxa"/>
            <w:vAlign w:val="center"/>
          </w:tcPr>
          <w:p>
            <w:pPr>
              <w:spacing w:line="240" w:lineRule="auto"/>
              <w:jc w:val="center"/>
              <w:rPr>
                <w:sz w:val="21"/>
                <w:szCs w:val="21"/>
              </w:rPr>
            </w:pPr>
            <w:r>
              <w:rPr>
                <w:rFonts w:hint="eastAsia"/>
                <w:sz w:val="21"/>
                <w:szCs w:val="21"/>
              </w:rPr>
              <w:t>1</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rPr>
                <w:sz w:val="21"/>
                <w:szCs w:val="21"/>
              </w:rP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sz w:val="21"/>
                <w:szCs w:val="21"/>
              </w:rPr>
              <w:t>2</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切割锯</w:t>
            </w:r>
          </w:p>
        </w:tc>
        <w:tc>
          <w:tcPr>
            <w:tcW w:w="1514" w:type="dxa"/>
            <w:vAlign w:val="center"/>
          </w:tcPr>
          <w:p>
            <w:pPr>
              <w:spacing w:line="240" w:lineRule="auto"/>
              <w:jc w:val="center"/>
              <w:rPr>
                <w:sz w:val="21"/>
                <w:szCs w:val="21"/>
              </w:rPr>
            </w:pPr>
            <w:r>
              <w:rPr>
                <w:rFonts w:hint="eastAsia"/>
                <w:sz w:val="21"/>
                <w:szCs w:val="21"/>
              </w:rPr>
              <w:t>85</w:t>
            </w:r>
            <w:r>
              <w:rPr>
                <w:sz w:val="21"/>
                <w:szCs w:val="21"/>
              </w:rPr>
              <w:t>dB(A)</w:t>
            </w:r>
          </w:p>
        </w:tc>
        <w:tc>
          <w:tcPr>
            <w:tcW w:w="1514" w:type="dxa"/>
            <w:vAlign w:val="center"/>
          </w:tcPr>
          <w:p>
            <w:pPr>
              <w:spacing w:line="240" w:lineRule="auto"/>
              <w:jc w:val="center"/>
              <w:rPr>
                <w:sz w:val="21"/>
                <w:szCs w:val="21"/>
              </w:rPr>
            </w:pPr>
            <w:r>
              <w:rPr>
                <w:rFonts w:hint="eastAsia"/>
                <w:sz w:val="21"/>
                <w:szCs w:val="21"/>
              </w:rPr>
              <w:t>2</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sz w:val="21"/>
                <w:szCs w:val="21"/>
              </w:rPr>
              <w:t>3</w:t>
            </w:r>
          </w:p>
        </w:tc>
        <w:tc>
          <w:tcPr>
            <w:tcW w:w="1796" w:type="dxa"/>
            <w:vAlign w:val="center"/>
          </w:tcPr>
          <w:p>
            <w:pPr>
              <w:widowControl/>
              <w:spacing w:line="240" w:lineRule="auto"/>
              <w:jc w:val="center"/>
              <w:rPr>
                <w:rFonts w:ascii="宋体" w:hAnsi="宋体"/>
                <w:kern w:val="0"/>
                <w:sz w:val="21"/>
                <w:szCs w:val="21"/>
              </w:rPr>
            </w:pPr>
            <w:r>
              <w:rPr>
                <w:rFonts w:hint="eastAsia" w:ascii="宋体" w:hAnsi="宋体"/>
                <w:kern w:val="0"/>
                <w:sz w:val="21"/>
                <w:szCs w:val="21"/>
              </w:rPr>
              <w:t>包边机</w:t>
            </w:r>
          </w:p>
        </w:tc>
        <w:tc>
          <w:tcPr>
            <w:tcW w:w="1514" w:type="dxa"/>
            <w:vAlign w:val="center"/>
          </w:tcPr>
          <w:p>
            <w:pPr>
              <w:spacing w:line="240" w:lineRule="auto"/>
              <w:jc w:val="center"/>
              <w:rPr>
                <w:sz w:val="21"/>
                <w:szCs w:val="21"/>
              </w:rPr>
            </w:pPr>
            <w:r>
              <w:rPr>
                <w:rFonts w:hint="eastAsia"/>
                <w:sz w:val="21"/>
                <w:szCs w:val="21"/>
              </w:rPr>
              <w:t>70</w:t>
            </w:r>
            <w:r>
              <w:rPr>
                <w:sz w:val="21"/>
                <w:szCs w:val="21"/>
              </w:rPr>
              <w:t>dB(A)</w:t>
            </w:r>
          </w:p>
        </w:tc>
        <w:tc>
          <w:tcPr>
            <w:tcW w:w="1514" w:type="dxa"/>
            <w:vAlign w:val="center"/>
          </w:tcPr>
          <w:p>
            <w:pPr>
              <w:spacing w:line="240" w:lineRule="auto"/>
              <w:jc w:val="center"/>
              <w:rPr>
                <w:sz w:val="21"/>
                <w:szCs w:val="21"/>
              </w:rPr>
            </w:pPr>
            <w:r>
              <w:rPr>
                <w:rFonts w:hint="eastAsia"/>
                <w:sz w:val="21"/>
                <w:szCs w:val="21"/>
              </w:rPr>
              <w:t>1</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sz w:val="21"/>
                <w:szCs w:val="21"/>
              </w:rPr>
              <w:t>4</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打包流水线</w:t>
            </w:r>
          </w:p>
        </w:tc>
        <w:tc>
          <w:tcPr>
            <w:tcW w:w="1514" w:type="dxa"/>
            <w:vAlign w:val="center"/>
          </w:tcPr>
          <w:p>
            <w:pPr>
              <w:spacing w:line="240" w:lineRule="auto"/>
              <w:jc w:val="center"/>
              <w:rPr>
                <w:sz w:val="21"/>
                <w:szCs w:val="21"/>
              </w:rPr>
            </w:pPr>
            <w:r>
              <w:rPr>
                <w:rFonts w:hint="eastAsia"/>
                <w:sz w:val="21"/>
                <w:szCs w:val="21"/>
              </w:rPr>
              <w:t>7</w:t>
            </w:r>
            <w:r>
              <w:rPr>
                <w:sz w:val="21"/>
                <w:szCs w:val="21"/>
              </w:rPr>
              <w:t>0dB(A)</w:t>
            </w:r>
          </w:p>
        </w:tc>
        <w:tc>
          <w:tcPr>
            <w:tcW w:w="1514" w:type="dxa"/>
            <w:vAlign w:val="center"/>
          </w:tcPr>
          <w:p>
            <w:pPr>
              <w:spacing w:line="240" w:lineRule="auto"/>
              <w:jc w:val="center"/>
              <w:rPr>
                <w:sz w:val="21"/>
                <w:szCs w:val="21"/>
              </w:rPr>
            </w:pPr>
            <w:r>
              <w:rPr>
                <w:rFonts w:hint="eastAsia"/>
                <w:sz w:val="21"/>
                <w:szCs w:val="21"/>
              </w:rPr>
              <w:t>1</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5</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码垛机</w:t>
            </w:r>
          </w:p>
        </w:tc>
        <w:tc>
          <w:tcPr>
            <w:tcW w:w="1514" w:type="dxa"/>
            <w:vAlign w:val="center"/>
          </w:tcPr>
          <w:p>
            <w:pPr>
              <w:spacing w:line="240" w:lineRule="auto"/>
              <w:jc w:val="center"/>
              <w:rPr>
                <w:sz w:val="21"/>
                <w:szCs w:val="21"/>
              </w:rPr>
            </w:pPr>
            <w:r>
              <w:rPr>
                <w:rFonts w:hint="eastAsia"/>
                <w:sz w:val="21"/>
                <w:szCs w:val="21"/>
              </w:rPr>
              <w:t>75</w:t>
            </w:r>
            <w:r>
              <w:rPr>
                <w:sz w:val="21"/>
                <w:szCs w:val="21"/>
              </w:rPr>
              <w:t>dB(A)</w:t>
            </w:r>
          </w:p>
        </w:tc>
        <w:tc>
          <w:tcPr>
            <w:tcW w:w="1514" w:type="dxa"/>
            <w:vAlign w:val="center"/>
          </w:tcPr>
          <w:p>
            <w:pPr>
              <w:spacing w:line="240" w:lineRule="auto"/>
              <w:jc w:val="center"/>
              <w:rPr>
                <w:sz w:val="21"/>
                <w:szCs w:val="21"/>
              </w:rPr>
            </w:pPr>
            <w:r>
              <w:rPr>
                <w:rFonts w:hint="eastAsia"/>
                <w:sz w:val="21"/>
                <w:szCs w:val="21"/>
              </w:rPr>
              <w:t>1</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6</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石膏线条生产线</w:t>
            </w:r>
          </w:p>
        </w:tc>
        <w:tc>
          <w:tcPr>
            <w:tcW w:w="1514" w:type="dxa"/>
            <w:vAlign w:val="center"/>
          </w:tcPr>
          <w:p>
            <w:pPr>
              <w:spacing w:line="240" w:lineRule="auto"/>
              <w:jc w:val="center"/>
              <w:rPr>
                <w:sz w:val="21"/>
                <w:szCs w:val="21"/>
              </w:rPr>
            </w:pPr>
            <w:r>
              <w:rPr>
                <w:sz w:val="21"/>
                <w:szCs w:val="21"/>
              </w:rPr>
              <w:t>7</w:t>
            </w:r>
            <w:r>
              <w:rPr>
                <w:rFonts w:hint="eastAsia"/>
                <w:sz w:val="21"/>
                <w:szCs w:val="21"/>
              </w:rPr>
              <w:t>5</w:t>
            </w:r>
            <w:r>
              <w:rPr>
                <w:sz w:val="21"/>
                <w:szCs w:val="21"/>
              </w:rPr>
              <w:t>dB(A)</w:t>
            </w:r>
          </w:p>
        </w:tc>
        <w:tc>
          <w:tcPr>
            <w:tcW w:w="1514" w:type="dxa"/>
            <w:vAlign w:val="center"/>
          </w:tcPr>
          <w:p>
            <w:pPr>
              <w:spacing w:line="240" w:lineRule="auto"/>
              <w:jc w:val="center"/>
              <w:rPr>
                <w:sz w:val="21"/>
                <w:szCs w:val="21"/>
              </w:rPr>
            </w:pPr>
            <w:r>
              <w:rPr>
                <w:rFonts w:hint="eastAsia"/>
                <w:sz w:val="21"/>
                <w:szCs w:val="21"/>
              </w:rPr>
              <w:t>1</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7</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搅拌机</w:t>
            </w:r>
          </w:p>
        </w:tc>
        <w:tc>
          <w:tcPr>
            <w:tcW w:w="1514" w:type="dxa"/>
            <w:vAlign w:val="center"/>
          </w:tcPr>
          <w:p>
            <w:pPr>
              <w:spacing w:line="240" w:lineRule="auto"/>
              <w:jc w:val="center"/>
              <w:rPr>
                <w:sz w:val="21"/>
                <w:szCs w:val="21"/>
              </w:rPr>
            </w:pPr>
            <w:r>
              <w:rPr>
                <w:rFonts w:hint="eastAsia"/>
                <w:sz w:val="21"/>
                <w:szCs w:val="21"/>
              </w:rPr>
              <w:t>80</w:t>
            </w:r>
            <w:r>
              <w:rPr>
                <w:sz w:val="21"/>
                <w:szCs w:val="21"/>
              </w:rPr>
              <w:t>dB(A)</w:t>
            </w:r>
          </w:p>
        </w:tc>
        <w:tc>
          <w:tcPr>
            <w:tcW w:w="1514" w:type="dxa"/>
            <w:vAlign w:val="center"/>
          </w:tcPr>
          <w:p>
            <w:pPr>
              <w:spacing w:line="240" w:lineRule="auto"/>
              <w:jc w:val="center"/>
              <w:rPr>
                <w:sz w:val="21"/>
                <w:szCs w:val="21"/>
              </w:rPr>
            </w:pPr>
            <w:r>
              <w:rPr>
                <w:rFonts w:hint="eastAsia"/>
                <w:sz w:val="21"/>
                <w:szCs w:val="21"/>
              </w:rPr>
              <w:t>1</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8</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气泵</w:t>
            </w:r>
          </w:p>
        </w:tc>
        <w:tc>
          <w:tcPr>
            <w:tcW w:w="1514" w:type="dxa"/>
            <w:vAlign w:val="center"/>
          </w:tcPr>
          <w:p>
            <w:pPr>
              <w:spacing w:line="240" w:lineRule="auto"/>
              <w:jc w:val="center"/>
              <w:rPr>
                <w:sz w:val="21"/>
                <w:szCs w:val="21"/>
              </w:rPr>
            </w:pPr>
            <w:r>
              <w:rPr>
                <w:rFonts w:hint="eastAsia"/>
                <w:sz w:val="21"/>
                <w:szCs w:val="21"/>
              </w:rPr>
              <w:t>80</w:t>
            </w:r>
            <w:r>
              <w:rPr>
                <w:sz w:val="21"/>
                <w:szCs w:val="21"/>
              </w:rPr>
              <w:t>dB(A)</w:t>
            </w:r>
          </w:p>
        </w:tc>
        <w:tc>
          <w:tcPr>
            <w:tcW w:w="1514" w:type="dxa"/>
            <w:vAlign w:val="center"/>
          </w:tcPr>
          <w:p>
            <w:pPr>
              <w:spacing w:line="240" w:lineRule="auto"/>
              <w:jc w:val="center"/>
              <w:rPr>
                <w:sz w:val="21"/>
                <w:szCs w:val="21"/>
              </w:rPr>
            </w:pPr>
            <w:r>
              <w:rPr>
                <w:rFonts w:hint="eastAsia"/>
                <w:sz w:val="21"/>
                <w:szCs w:val="21"/>
              </w:rPr>
              <w:t>1</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9</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气割机</w:t>
            </w:r>
          </w:p>
        </w:tc>
        <w:tc>
          <w:tcPr>
            <w:tcW w:w="1514" w:type="dxa"/>
            <w:vAlign w:val="center"/>
          </w:tcPr>
          <w:p>
            <w:pPr>
              <w:spacing w:line="240" w:lineRule="auto"/>
              <w:jc w:val="center"/>
              <w:rPr>
                <w:sz w:val="21"/>
                <w:szCs w:val="21"/>
              </w:rPr>
            </w:pPr>
            <w:r>
              <w:rPr>
                <w:rFonts w:hint="eastAsia"/>
                <w:sz w:val="21"/>
                <w:szCs w:val="21"/>
              </w:rPr>
              <w:t>85</w:t>
            </w:r>
            <w:r>
              <w:rPr>
                <w:sz w:val="21"/>
                <w:szCs w:val="21"/>
              </w:rPr>
              <w:t>dB(A)</w:t>
            </w:r>
          </w:p>
        </w:tc>
        <w:tc>
          <w:tcPr>
            <w:tcW w:w="1514" w:type="dxa"/>
            <w:vAlign w:val="center"/>
          </w:tcPr>
          <w:p>
            <w:pPr>
              <w:spacing w:line="240" w:lineRule="auto"/>
              <w:jc w:val="center"/>
              <w:rPr>
                <w:sz w:val="21"/>
                <w:szCs w:val="21"/>
              </w:rPr>
            </w:pPr>
            <w:r>
              <w:rPr>
                <w:rFonts w:hint="eastAsia"/>
                <w:sz w:val="21"/>
                <w:szCs w:val="21"/>
              </w:rPr>
              <w:t>2</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10</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等离子切割机</w:t>
            </w:r>
          </w:p>
        </w:tc>
        <w:tc>
          <w:tcPr>
            <w:tcW w:w="1514" w:type="dxa"/>
            <w:vAlign w:val="center"/>
          </w:tcPr>
          <w:p>
            <w:pPr>
              <w:spacing w:line="240" w:lineRule="auto"/>
              <w:jc w:val="center"/>
              <w:rPr>
                <w:sz w:val="21"/>
                <w:szCs w:val="21"/>
              </w:rPr>
            </w:pPr>
            <w:r>
              <w:rPr>
                <w:rFonts w:hint="eastAsia"/>
                <w:sz w:val="21"/>
                <w:szCs w:val="21"/>
              </w:rPr>
              <w:t>85</w:t>
            </w:r>
            <w:r>
              <w:rPr>
                <w:sz w:val="21"/>
                <w:szCs w:val="21"/>
              </w:rPr>
              <w:t>dB(A)</w:t>
            </w:r>
          </w:p>
        </w:tc>
        <w:tc>
          <w:tcPr>
            <w:tcW w:w="1514" w:type="dxa"/>
            <w:vAlign w:val="center"/>
          </w:tcPr>
          <w:p>
            <w:pPr>
              <w:spacing w:line="240" w:lineRule="auto"/>
              <w:jc w:val="center"/>
              <w:rPr>
                <w:sz w:val="21"/>
                <w:szCs w:val="21"/>
              </w:rPr>
            </w:pPr>
            <w:r>
              <w:rPr>
                <w:rFonts w:hint="eastAsia"/>
                <w:sz w:val="21"/>
                <w:szCs w:val="21"/>
              </w:rPr>
              <w:t>1</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11</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锯床</w:t>
            </w:r>
          </w:p>
        </w:tc>
        <w:tc>
          <w:tcPr>
            <w:tcW w:w="1514" w:type="dxa"/>
            <w:vAlign w:val="center"/>
          </w:tcPr>
          <w:p>
            <w:pPr>
              <w:spacing w:line="240" w:lineRule="auto"/>
              <w:jc w:val="center"/>
              <w:rPr>
                <w:sz w:val="21"/>
                <w:szCs w:val="21"/>
              </w:rPr>
            </w:pPr>
            <w:r>
              <w:rPr>
                <w:rFonts w:hint="eastAsia"/>
                <w:sz w:val="21"/>
                <w:szCs w:val="21"/>
              </w:rPr>
              <w:t>85</w:t>
            </w:r>
            <w:r>
              <w:rPr>
                <w:sz w:val="21"/>
                <w:szCs w:val="21"/>
              </w:rPr>
              <w:t>dB(A)</w:t>
            </w:r>
          </w:p>
        </w:tc>
        <w:tc>
          <w:tcPr>
            <w:tcW w:w="1514" w:type="dxa"/>
            <w:vAlign w:val="center"/>
          </w:tcPr>
          <w:p>
            <w:pPr>
              <w:spacing w:line="240" w:lineRule="auto"/>
              <w:jc w:val="center"/>
              <w:rPr>
                <w:sz w:val="21"/>
                <w:szCs w:val="21"/>
              </w:rPr>
            </w:pPr>
            <w:r>
              <w:rPr>
                <w:rFonts w:hint="eastAsia"/>
                <w:sz w:val="21"/>
                <w:szCs w:val="21"/>
              </w:rPr>
              <w:t>2</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12</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车床</w:t>
            </w:r>
          </w:p>
        </w:tc>
        <w:tc>
          <w:tcPr>
            <w:tcW w:w="1514" w:type="dxa"/>
            <w:vAlign w:val="center"/>
          </w:tcPr>
          <w:p>
            <w:pPr>
              <w:spacing w:line="240" w:lineRule="auto"/>
              <w:jc w:val="center"/>
              <w:rPr>
                <w:sz w:val="21"/>
                <w:szCs w:val="21"/>
              </w:rPr>
            </w:pPr>
            <w:r>
              <w:rPr>
                <w:rFonts w:hint="eastAsia"/>
                <w:sz w:val="21"/>
                <w:szCs w:val="21"/>
              </w:rPr>
              <w:t>85</w:t>
            </w:r>
            <w:r>
              <w:rPr>
                <w:sz w:val="21"/>
                <w:szCs w:val="21"/>
              </w:rPr>
              <w:t>dB(A)</w:t>
            </w:r>
          </w:p>
        </w:tc>
        <w:tc>
          <w:tcPr>
            <w:tcW w:w="1514" w:type="dxa"/>
            <w:vAlign w:val="center"/>
          </w:tcPr>
          <w:p>
            <w:pPr>
              <w:spacing w:line="240" w:lineRule="auto"/>
              <w:jc w:val="center"/>
              <w:rPr>
                <w:sz w:val="21"/>
                <w:szCs w:val="21"/>
              </w:rPr>
            </w:pPr>
            <w:r>
              <w:rPr>
                <w:rFonts w:hint="eastAsia"/>
                <w:sz w:val="21"/>
                <w:szCs w:val="21"/>
              </w:rPr>
              <w:t>3</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13</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牛头刨床</w:t>
            </w:r>
          </w:p>
        </w:tc>
        <w:tc>
          <w:tcPr>
            <w:tcW w:w="1514" w:type="dxa"/>
            <w:vAlign w:val="center"/>
          </w:tcPr>
          <w:p>
            <w:pPr>
              <w:spacing w:line="240" w:lineRule="auto"/>
              <w:jc w:val="center"/>
              <w:rPr>
                <w:sz w:val="21"/>
                <w:szCs w:val="21"/>
              </w:rPr>
            </w:pPr>
            <w:r>
              <w:rPr>
                <w:rFonts w:hint="eastAsia"/>
                <w:sz w:val="21"/>
                <w:szCs w:val="21"/>
              </w:rPr>
              <w:t>80</w:t>
            </w:r>
            <w:r>
              <w:rPr>
                <w:sz w:val="21"/>
                <w:szCs w:val="21"/>
              </w:rPr>
              <w:t>dB(A)</w:t>
            </w:r>
          </w:p>
        </w:tc>
        <w:tc>
          <w:tcPr>
            <w:tcW w:w="1514" w:type="dxa"/>
            <w:vAlign w:val="center"/>
          </w:tcPr>
          <w:p>
            <w:pPr>
              <w:spacing w:line="240" w:lineRule="auto"/>
              <w:jc w:val="center"/>
              <w:rPr>
                <w:sz w:val="21"/>
                <w:szCs w:val="21"/>
              </w:rPr>
            </w:pPr>
            <w:r>
              <w:rPr>
                <w:rFonts w:hint="eastAsia"/>
                <w:sz w:val="21"/>
                <w:szCs w:val="21"/>
              </w:rPr>
              <w:t>1</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14</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铣床</w:t>
            </w:r>
          </w:p>
        </w:tc>
        <w:tc>
          <w:tcPr>
            <w:tcW w:w="1514" w:type="dxa"/>
            <w:vAlign w:val="center"/>
          </w:tcPr>
          <w:p>
            <w:pPr>
              <w:spacing w:line="240" w:lineRule="auto"/>
              <w:jc w:val="center"/>
              <w:rPr>
                <w:sz w:val="21"/>
                <w:szCs w:val="21"/>
              </w:rPr>
            </w:pPr>
            <w:r>
              <w:rPr>
                <w:rFonts w:hint="eastAsia"/>
                <w:sz w:val="21"/>
                <w:szCs w:val="21"/>
              </w:rPr>
              <w:t>80</w:t>
            </w:r>
            <w:r>
              <w:rPr>
                <w:sz w:val="21"/>
                <w:szCs w:val="21"/>
              </w:rPr>
              <w:t>dB(A)</w:t>
            </w:r>
          </w:p>
        </w:tc>
        <w:tc>
          <w:tcPr>
            <w:tcW w:w="1514" w:type="dxa"/>
            <w:vAlign w:val="center"/>
          </w:tcPr>
          <w:p>
            <w:pPr>
              <w:spacing w:line="240" w:lineRule="auto"/>
              <w:jc w:val="center"/>
              <w:rPr>
                <w:sz w:val="21"/>
                <w:szCs w:val="21"/>
              </w:rPr>
            </w:pPr>
            <w:r>
              <w:rPr>
                <w:rFonts w:hint="eastAsia"/>
                <w:sz w:val="21"/>
                <w:szCs w:val="21"/>
              </w:rPr>
              <w:t>3</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15</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钻床</w:t>
            </w:r>
          </w:p>
        </w:tc>
        <w:tc>
          <w:tcPr>
            <w:tcW w:w="1514" w:type="dxa"/>
            <w:vAlign w:val="center"/>
          </w:tcPr>
          <w:p>
            <w:pPr>
              <w:spacing w:line="240" w:lineRule="auto"/>
              <w:jc w:val="center"/>
              <w:rPr>
                <w:sz w:val="21"/>
                <w:szCs w:val="21"/>
              </w:rPr>
            </w:pPr>
            <w:r>
              <w:rPr>
                <w:rFonts w:hint="eastAsia"/>
                <w:sz w:val="21"/>
                <w:szCs w:val="21"/>
              </w:rPr>
              <w:t>80</w:t>
            </w:r>
            <w:r>
              <w:rPr>
                <w:sz w:val="21"/>
                <w:szCs w:val="21"/>
              </w:rPr>
              <w:t>dB(A)</w:t>
            </w:r>
          </w:p>
        </w:tc>
        <w:tc>
          <w:tcPr>
            <w:tcW w:w="1514" w:type="dxa"/>
            <w:vAlign w:val="center"/>
          </w:tcPr>
          <w:p>
            <w:pPr>
              <w:spacing w:line="240" w:lineRule="auto"/>
              <w:jc w:val="center"/>
              <w:rPr>
                <w:sz w:val="21"/>
                <w:szCs w:val="21"/>
              </w:rPr>
            </w:pPr>
            <w:r>
              <w:rPr>
                <w:rFonts w:hint="eastAsia"/>
                <w:sz w:val="21"/>
                <w:szCs w:val="21"/>
              </w:rPr>
              <w:t>2</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21" w:type="dxa"/>
            <w:vAlign w:val="center"/>
          </w:tcPr>
          <w:p>
            <w:pPr>
              <w:spacing w:line="240" w:lineRule="auto"/>
              <w:jc w:val="center"/>
              <w:rPr>
                <w:sz w:val="21"/>
                <w:szCs w:val="21"/>
              </w:rPr>
            </w:pPr>
            <w:r>
              <w:rPr>
                <w:rFonts w:hint="eastAsia"/>
                <w:sz w:val="21"/>
                <w:szCs w:val="21"/>
              </w:rPr>
              <w:t>16</w:t>
            </w:r>
          </w:p>
        </w:tc>
        <w:tc>
          <w:tcPr>
            <w:tcW w:w="1796" w:type="dxa"/>
            <w:vAlign w:val="center"/>
          </w:tcPr>
          <w:p>
            <w:pPr>
              <w:widowControl/>
              <w:spacing w:line="240" w:lineRule="auto"/>
              <w:jc w:val="center"/>
              <w:rPr>
                <w:color w:val="000000"/>
                <w:kern w:val="0"/>
                <w:sz w:val="21"/>
                <w:szCs w:val="21"/>
              </w:rPr>
            </w:pPr>
            <w:r>
              <w:rPr>
                <w:rFonts w:hint="eastAsia"/>
                <w:color w:val="000000"/>
                <w:kern w:val="0"/>
                <w:sz w:val="21"/>
                <w:szCs w:val="21"/>
              </w:rPr>
              <w:t>航吊</w:t>
            </w:r>
          </w:p>
        </w:tc>
        <w:tc>
          <w:tcPr>
            <w:tcW w:w="1514" w:type="dxa"/>
            <w:vAlign w:val="center"/>
          </w:tcPr>
          <w:p>
            <w:pPr>
              <w:spacing w:line="240" w:lineRule="auto"/>
              <w:jc w:val="center"/>
              <w:rPr>
                <w:sz w:val="21"/>
                <w:szCs w:val="21"/>
              </w:rPr>
            </w:pPr>
            <w:r>
              <w:rPr>
                <w:rFonts w:hint="eastAsia"/>
                <w:sz w:val="21"/>
                <w:szCs w:val="21"/>
              </w:rPr>
              <w:t>75</w:t>
            </w:r>
            <w:r>
              <w:rPr>
                <w:sz w:val="21"/>
                <w:szCs w:val="21"/>
              </w:rPr>
              <w:t>dB(A)</w:t>
            </w:r>
          </w:p>
        </w:tc>
        <w:tc>
          <w:tcPr>
            <w:tcW w:w="1514" w:type="dxa"/>
            <w:vAlign w:val="center"/>
          </w:tcPr>
          <w:p>
            <w:pPr>
              <w:spacing w:line="240" w:lineRule="auto"/>
              <w:jc w:val="center"/>
              <w:rPr>
                <w:sz w:val="21"/>
                <w:szCs w:val="21"/>
              </w:rPr>
            </w:pPr>
            <w:r>
              <w:rPr>
                <w:rFonts w:hint="eastAsia"/>
                <w:sz w:val="21"/>
                <w:szCs w:val="21"/>
              </w:rPr>
              <w:t>2</w:t>
            </w:r>
          </w:p>
        </w:tc>
        <w:tc>
          <w:tcPr>
            <w:tcW w:w="1514" w:type="dxa"/>
            <w:vAlign w:val="center"/>
          </w:tcPr>
          <w:p>
            <w:pPr>
              <w:spacing w:line="240" w:lineRule="auto"/>
              <w:jc w:val="center"/>
              <w:rPr>
                <w:sz w:val="21"/>
                <w:szCs w:val="21"/>
              </w:rPr>
            </w:pPr>
            <w:r>
              <w:rPr>
                <w:rFonts w:hint="eastAsia"/>
                <w:sz w:val="21"/>
                <w:szCs w:val="21"/>
              </w:rPr>
              <w:t>连续</w:t>
            </w:r>
          </w:p>
        </w:tc>
        <w:tc>
          <w:tcPr>
            <w:tcW w:w="1510" w:type="dxa"/>
            <w:vAlign w:val="center"/>
          </w:tcPr>
          <w:p>
            <w:pPr>
              <w:spacing w:line="240" w:lineRule="auto"/>
              <w:jc w:val="center"/>
            </w:pPr>
            <w:r>
              <w:rPr>
                <w:rFonts w:hint="eastAsia"/>
                <w:sz w:val="21"/>
                <w:szCs w:val="21"/>
              </w:rPr>
              <w:t>减振、隔音</w:t>
            </w:r>
          </w:p>
        </w:tc>
      </w:tr>
    </w:tbl>
    <w:p>
      <w:pPr>
        <w:pStyle w:val="4"/>
        <w:spacing w:before="70"/>
        <w:rPr>
          <w:color w:val="3E3E3E"/>
        </w:rPr>
      </w:pPr>
      <w:bookmarkStart w:id="52" w:name="_Toc499060205"/>
      <w:bookmarkStart w:id="53" w:name="_Toc499059468"/>
      <w:r>
        <w:t>4.1.4固（液）体废物</w:t>
      </w:r>
      <w:bookmarkEnd w:id="52"/>
      <w:bookmarkEnd w:id="53"/>
    </w:p>
    <w:p>
      <w:pPr>
        <w:pStyle w:val="71"/>
        <w:ind w:firstLine="520"/>
      </w:pPr>
      <w:r>
        <w:rPr>
          <w:rFonts w:hint="eastAsia"/>
        </w:rPr>
        <w:t>该项目产生的一般固废主要为石膏贴面板生产过程中切割工序布袋除尘器收集的粉尘；石膏线条生产过程中产生的石膏浆渣和不合格品；机械设备加工过程中产生的下脚料和铁屑、焊渣；产品包装过程产生的废包装材料和职工生活垃圾。</w:t>
      </w:r>
    </w:p>
    <w:p>
      <w:pPr>
        <w:pStyle w:val="71"/>
        <w:ind w:firstLine="520"/>
        <w:rPr>
          <w:rFonts w:ascii="Times New Roman" w:hAnsi="Times New Roman" w:eastAsiaTheme="minorEastAsia"/>
          <w:sz w:val="26"/>
          <w:szCs w:val="22"/>
        </w:rPr>
      </w:pPr>
      <w:r>
        <w:rPr>
          <w:rFonts w:hint="eastAsia" w:ascii="Times New Roman" w:hAnsi="Times New Roman" w:eastAsiaTheme="minorEastAsia"/>
          <w:sz w:val="26"/>
          <w:szCs w:val="22"/>
        </w:rPr>
        <w:t>该项目产生的危险废物为石膏贴面板生产过程产生的废胶桶、废胶渣，机加工过程产生的废液压油及其包装物、废切削液。</w:t>
      </w:r>
    </w:p>
    <w:p>
      <w:pPr>
        <w:pStyle w:val="71"/>
        <w:ind w:firstLine="520"/>
        <w:rPr>
          <w:rFonts w:ascii="Times New Roman" w:hAnsi="Times New Roman" w:eastAsiaTheme="minorEastAsia"/>
          <w:sz w:val="26"/>
          <w:szCs w:val="22"/>
        </w:rPr>
      </w:pPr>
      <w:r>
        <w:rPr>
          <w:rFonts w:hint="eastAsia" w:ascii="Times New Roman" w:hAnsi="Times New Roman" w:eastAsiaTheme="minorEastAsia"/>
          <w:sz w:val="26"/>
          <w:szCs w:val="22"/>
        </w:rPr>
        <w:t>据企业提供资料及现场调查，该项目固废处理情况如下：</w:t>
      </w:r>
    </w:p>
    <w:p>
      <w:pPr>
        <w:pStyle w:val="71"/>
        <w:ind w:firstLine="520"/>
        <w:rPr>
          <w:rFonts w:ascii="Times New Roman" w:hAnsi="Times New Roman" w:eastAsiaTheme="minorEastAsia"/>
          <w:b/>
          <w:sz w:val="26"/>
          <w:szCs w:val="22"/>
        </w:rPr>
      </w:pPr>
      <w:r>
        <w:rPr>
          <w:rFonts w:hint="eastAsia" w:ascii="Times New Roman" w:hAnsi="Times New Roman" w:eastAsiaTheme="minorEastAsia"/>
          <w:b/>
          <w:sz w:val="26"/>
          <w:szCs w:val="22"/>
        </w:rPr>
        <w:t>1、一般固废</w:t>
      </w:r>
    </w:p>
    <w:p>
      <w:pPr>
        <w:pStyle w:val="71"/>
        <w:ind w:firstLine="520"/>
        <w:rPr>
          <w:rFonts w:ascii="Times New Roman" w:hAnsi="Times New Roman" w:eastAsiaTheme="minorEastAsia"/>
          <w:bCs/>
          <w:sz w:val="26"/>
          <w:szCs w:val="22"/>
        </w:rPr>
      </w:pPr>
      <w:r>
        <w:rPr>
          <w:rFonts w:hint="eastAsia" w:ascii="Times New Roman" w:hAnsi="Times New Roman" w:eastAsiaTheme="minorEastAsia"/>
          <w:sz w:val="26"/>
          <w:szCs w:val="22"/>
        </w:rPr>
        <w:t>（1）</w:t>
      </w:r>
      <w:r>
        <w:rPr>
          <w:rFonts w:ascii="Times New Roman" w:hAnsi="Times New Roman" w:eastAsiaTheme="minorEastAsia"/>
          <w:bCs/>
          <w:sz w:val="26"/>
          <w:szCs w:val="22"/>
        </w:rPr>
        <w:t>布袋除尘器收集的粉尘：</w:t>
      </w:r>
      <w:r>
        <w:rPr>
          <w:rFonts w:hint="eastAsia" w:ascii="Times New Roman" w:hAnsi="Times New Roman" w:eastAsiaTheme="minorEastAsia"/>
          <w:bCs/>
          <w:sz w:val="26"/>
          <w:szCs w:val="22"/>
        </w:rPr>
        <w:t>该项目布袋</w:t>
      </w:r>
      <w:r>
        <w:rPr>
          <w:rFonts w:ascii="Times New Roman" w:hAnsi="Times New Roman" w:eastAsiaTheme="minorEastAsia"/>
          <w:bCs/>
          <w:sz w:val="26"/>
          <w:szCs w:val="22"/>
        </w:rPr>
        <w:t>除尘器收集的粉尘</w:t>
      </w:r>
      <w:r>
        <w:rPr>
          <w:rFonts w:hint="eastAsia" w:ascii="Times New Roman" w:hAnsi="Times New Roman" w:eastAsiaTheme="minorEastAsia"/>
          <w:bCs/>
          <w:sz w:val="26"/>
          <w:szCs w:val="22"/>
        </w:rPr>
        <w:t>量约15</w:t>
      </w:r>
      <w:r>
        <w:rPr>
          <w:rFonts w:ascii="Times New Roman" w:hAnsi="Times New Roman" w:eastAsiaTheme="minorEastAsia"/>
          <w:bCs/>
          <w:sz w:val="26"/>
          <w:szCs w:val="22"/>
        </w:rPr>
        <w:t>t/a，收集后外卖</w:t>
      </w:r>
      <w:r>
        <w:rPr>
          <w:rFonts w:hint="eastAsia" w:ascii="Times New Roman" w:hAnsi="Times New Roman" w:eastAsiaTheme="minorEastAsia"/>
          <w:bCs/>
          <w:sz w:val="26"/>
          <w:szCs w:val="22"/>
        </w:rPr>
        <w:t>综合利用</w:t>
      </w:r>
      <w:r>
        <w:rPr>
          <w:rFonts w:ascii="Times New Roman" w:hAnsi="Times New Roman" w:eastAsiaTheme="minorEastAsia"/>
          <w:bCs/>
          <w:sz w:val="26"/>
          <w:szCs w:val="22"/>
        </w:rPr>
        <w:t>；</w:t>
      </w:r>
    </w:p>
    <w:p>
      <w:pPr>
        <w:pStyle w:val="71"/>
        <w:ind w:firstLine="520"/>
        <w:rPr>
          <w:rFonts w:ascii="Times New Roman" w:hAnsi="Times New Roman" w:eastAsiaTheme="minorEastAsia"/>
          <w:bCs/>
          <w:sz w:val="26"/>
          <w:szCs w:val="22"/>
        </w:rPr>
      </w:pPr>
      <w:r>
        <w:rPr>
          <w:rFonts w:hint="eastAsia" w:ascii="Times New Roman" w:hAnsi="Times New Roman" w:eastAsiaTheme="minorEastAsia"/>
          <w:bCs/>
          <w:sz w:val="26"/>
          <w:szCs w:val="22"/>
        </w:rPr>
        <w:t>（2）</w:t>
      </w:r>
      <w:r>
        <w:rPr>
          <w:rFonts w:ascii="Times New Roman" w:hAnsi="Times New Roman" w:eastAsiaTheme="minorEastAsia"/>
          <w:bCs/>
          <w:sz w:val="26"/>
          <w:szCs w:val="22"/>
        </w:rPr>
        <w:t>石膏线条生产过程中产生的石膏浆渣和不合格品：本项目石膏浆渣产生量</w:t>
      </w:r>
      <w:r>
        <w:rPr>
          <w:rFonts w:hint="eastAsia" w:ascii="Times New Roman" w:hAnsi="Times New Roman" w:eastAsiaTheme="minorEastAsia"/>
          <w:bCs/>
          <w:sz w:val="26"/>
          <w:szCs w:val="22"/>
        </w:rPr>
        <w:t>约</w:t>
      </w:r>
      <w:r>
        <w:rPr>
          <w:rFonts w:ascii="Times New Roman" w:hAnsi="Times New Roman" w:eastAsiaTheme="minorEastAsia"/>
          <w:bCs/>
          <w:sz w:val="26"/>
          <w:szCs w:val="22"/>
        </w:rPr>
        <w:t>1.2t/a，不合格品产生量</w:t>
      </w:r>
      <w:r>
        <w:rPr>
          <w:rFonts w:hint="eastAsia" w:ascii="Times New Roman" w:hAnsi="Times New Roman" w:eastAsiaTheme="minorEastAsia"/>
          <w:bCs/>
          <w:sz w:val="26"/>
          <w:szCs w:val="22"/>
        </w:rPr>
        <w:t>约</w:t>
      </w:r>
      <w:r>
        <w:rPr>
          <w:rFonts w:ascii="Times New Roman" w:hAnsi="Times New Roman" w:eastAsiaTheme="minorEastAsia"/>
          <w:bCs/>
          <w:sz w:val="26"/>
          <w:szCs w:val="22"/>
        </w:rPr>
        <w:t>5t/a，收集后外卖用作建筑材料</w:t>
      </w:r>
      <w:r>
        <w:rPr>
          <w:rFonts w:hint="eastAsia" w:ascii="Times New Roman" w:hAnsi="Times New Roman" w:eastAsiaTheme="minorEastAsia"/>
          <w:bCs/>
          <w:sz w:val="26"/>
          <w:szCs w:val="22"/>
        </w:rPr>
        <w:t>；</w:t>
      </w:r>
    </w:p>
    <w:p>
      <w:pPr>
        <w:pStyle w:val="71"/>
        <w:ind w:firstLine="520"/>
        <w:rPr>
          <w:rFonts w:ascii="Times New Roman" w:hAnsi="Times New Roman" w:eastAsiaTheme="minorEastAsia"/>
          <w:bCs/>
          <w:sz w:val="26"/>
          <w:szCs w:val="22"/>
        </w:rPr>
      </w:pPr>
      <w:r>
        <w:rPr>
          <w:rFonts w:hint="eastAsia" w:ascii="Times New Roman" w:hAnsi="Times New Roman" w:eastAsiaTheme="minorEastAsia"/>
          <w:bCs/>
          <w:sz w:val="26"/>
          <w:szCs w:val="22"/>
        </w:rPr>
        <w:t>（3）</w:t>
      </w:r>
      <w:r>
        <w:rPr>
          <w:rFonts w:ascii="Times New Roman" w:hAnsi="Times New Roman" w:eastAsiaTheme="minorEastAsia"/>
          <w:bCs/>
          <w:sz w:val="26"/>
          <w:szCs w:val="22"/>
        </w:rPr>
        <w:t>下脚料和铁屑：本项目钢材下料和钻孔过程中下脚料和铁屑产生量为0.8t/a，收集后外卖废品回收站</w:t>
      </w:r>
      <w:r>
        <w:rPr>
          <w:rFonts w:hint="eastAsia" w:ascii="Times New Roman" w:hAnsi="Times New Roman" w:eastAsiaTheme="minorEastAsia"/>
          <w:bCs/>
          <w:sz w:val="26"/>
          <w:szCs w:val="22"/>
        </w:rPr>
        <w:t>；</w:t>
      </w:r>
    </w:p>
    <w:p>
      <w:pPr>
        <w:pStyle w:val="71"/>
        <w:ind w:firstLine="520"/>
        <w:rPr>
          <w:rFonts w:ascii="Times New Roman" w:hAnsi="Times New Roman" w:eastAsiaTheme="minorEastAsia"/>
          <w:bCs/>
          <w:sz w:val="26"/>
          <w:szCs w:val="22"/>
        </w:rPr>
      </w:pPr>
      <w:r>
        <w:rPr>
          <w:rFonts w:hint="eastAsia" w:ascii="Times New Roman" w:hAnsi="Times New Roman" w:eastAsiaTheme="minorEastAsia"/>
          <w:bCs/>
          <w:sz w:val="26"/>
          <w:szCs w:val="22"/>
        </w:rPr>
        <w:t>（4）</w:t>
      </w:r>
      <w:r>
        <w:rPr>
          <w:rFonts w:ascii="Times New Roman" w:hAnsi="Times New Roman" w:eastAsiaTheme="minorEastAsia"/>
          <w:bCs/>
          <w:sz w:val="26"/>
          <w:szCs w:val="22"/>
        </w:rPr>
        <w:t>焊渣：</w:t>
      </w:r>
      <w:r>
        <w:rPr>
          <w:rFonts w:hint="eastAsia" w:ascii="Times New Roman" w:hAnsi="Times New Roman" w:eastAsiaTheme="minorEastAsia"/>
          <w:bCs/>
          <w:sz w:val="26"/>
          <w:szCs w:val="22"/>
        </w:rPr>
        <w:t>该</w:t>
      </w:r>
      <w:r>
        <w:rPr>
          <w:rFonts w:ascii="Times New Roman" w:hAnsi="Times New Roman" w:eastAsiaTheme="minorEastAsia"/>
          <w:bCs/>
          <w:sz w:val="26"/>
          <w:szCs w:val="22"/>
        </w:rPr>
        <w:t>项目焊渣产生量</w:t>
      </w:r>
      <w:r>
        <w:rPr>
          <w:rFonts w:hint="eastAsia" w:ascii="Times New Roman" w:hAnsi="Times New Roman" w:eastAsiaTheme="minorEastAsia"/>
          <w:bCs/>
          <w:sz w:val="26"/>
          <w:szCs w:val="22"/>
        </w:rPr>
        <w:t>约</w:t>
      </w:r>
      <w:r>
        <w:rPr>
          <w:rFonts w:ascii="Times New Roman" w:hAnsi="Times New Roman" w:eastAsiaTheme="minorEastAsia"/>
          <w:bCs/>
          <w:sz w:val="26"/>
          <w:szCs w:val="22"/>
        </w:rPr>
        <w:t>0.0075t/a，收集</w:t>
      </w:r>
      <w:r>
        <w:rPr>
          <w:rFonts w:hint="eastAsia" w:ascii="Times New Roman" w:hAnsi="Times New Roman" w:eastAsiaTheme="minorEastAsia"/>
          <w:bCs/>
          <w:sz w:val="26"/>
          <w:szCs w:val="22"/>
        </w:rPr>
        <w:t>后交</w:t>
      </w:r>
      <w:r>
        <w:rPr>
          <w:rFonts w:ascii="Times New Roman" w:hAnsi="Times New Roman" w:eastAsiaTheme="minorEastAsia"/>
          <w:bCs/>
          <w:sz w:val="26"/>
          <w:szCs w:val="22"/>
        </w:rPr>
        <w:t>由环卫部门统一处理。</w:t>
      </w:r>
    </w:p>
    <w:p>
      <w:pPr>
        <w:pStyle w:val="71"/>
        <w:ind w:firstLine="520"/>
        <w:rPr>
          <w:rFonts w:ascii="Times New Roman" w:hAnsi="Times New Roman" w:eastAsiaTheme="minorEastAsia"/>
          <w:bCs/>
          <w:sz w:val="26"/>
          <w:szCs w:val="22"/>
        </w:rPr>
      </w:pPr>
      <w:r>
        <w:rPr>
          <w:rFonts w:hint="eastAsia" w:ascii="Times New Roman" w:hAnsi="Times New Roman" w:eastAsiaTheme="minorEastAsia"/>
          <w:bCs/>
          <w:sz w:val="26"/>
          <w:szCs w:val="22"/>
        </w:rPr>
        <w:t>（5）</w:t>
      </w:r>
      <w:r>
        <w:rPr>
          <w:rFonts w:ascii="Times New Roman" w:hAnsi="Times New Roman" w:eastAsiaTheme="minorEastAsia"/>
          <w:bCs/>
          <w:sz w:val="26"/>
          <w:szCs w:val="22"/>
        </w:rPr>
        <w:t>废包装材料：</w:t>
      </w:r>
      <w:r>
        <w:rPr>
          <w:rFonts w:hint="eastAsia" w:ascii="Times New Roman" w:hAnsi="Times New Roman" w:eastAsiaTheme="minorEastAsia"/>
          <w:bCs/>
          <w:sz w:val="26"/>
          <w:szCs w:val="22"/>
        </w:rPr>
        <w:t>该</w:t>
      </w:r>
      <w:r>
        <w:rPr>
          <w:rFonts w:ascii="Times New Roman" w:hAnsi="Times New Roman" w:eastAsiaTheme="minorEastAsia"/>
          <w:bCs/>
          <w:sz w:val="26"/>
          <w:szCs w:val="22"/>
        </w:rPr>
        <w:t>项目废包装材料产生量</w:t>
      </w:r>
      <w:r>
        <w:rPr>
          <w:rFonts w:hint="eastAsia" w:ascii="Times New Roman" w:hAnsi="Times New Roman" w:eastAsiaTheme="minorEastAsia"/>
          <w:bCs/>
          <w:sz w:val="26"/>
          <w:szCs w:val="22"/>
        </w:rPr>
        <w:t>约</w:t>
      </w:r>
      <w:r>
        <w:rPr>
          <w:rFonts w:ascii="Times New Roman" w:hAnsi="Times New Roman" w:eastAsiaTheme="minorEastAsia"/>
          <w:bCs/>
          <w:sz w:val="26"/>
          <w:szCs w:val="22"/>
        </w:rPr>
        <w:t>2.5t/a，收集后外卖废品回收站</w:t>
      </w:r>
      <w:r>
        <w:rPr>
          <w:rFonts w:hint="eastAsia" w:ascii="Times New Roman" w:hAnsi="Times New Roman" w:eastAsiaTheme="minorEastAsia"/>
          <w:bCs/>
          <w:sz w:val="26"/>
          <w:szCs w:val="22"/>
        </w:rPr>
        <w:t>；</w:t>
      </w:r>
    </w:p>
    <w:p>
      <w:pPr>
        <w:pStyle w:val="71"/>
        <w:ind w:firstLine="520"/>
        <w:rPr>
          <w:rFonts w:ascii="Times New Roman" w:hAnsi="Times New Roman" w:eastAsiaTheme="minorEastAsia"/>
          <w:bCs/>
          <w:sz w:val="26"/>
          <w:szCs w:val="22"/>
        </w:rPr>
      </w:pPr>
      <w:r>
        <w:rPr>
          <w:rFonts w:hint="eastAsia" w:ascii="Times New Roman" w:hAnsi="Times New Roman" w:eastAsiaTheme="minorEastAsia"/>
          <w:bCs/>
          <w:sz w:val="26"/>
          <w:szCs w:val="22"/>
        </w:rPr>
        <w:t>（6）</w:t>
      </w:r>
      <w:r>
        <w:rPr>
          <w:rFonts w:ascii="Times New Roman" w:hAnsi="Times New Roman" w:eastAsiaTheme="minorEastAsia"/>
          <w:bCs/>
          <w:sz w:val="26"/>
          <w:szCs w:val="22"/>
        </w:rPr>
        <w:t>职工生活垃圾：</w:t>
      </w:r>
      <w:r>
        <w:rPr>
          <w:rFonts w:hint="eastAsia" w:ascii="Times New Roman" w:hAnsi="Times New Roman" w:eastAsiaTheme="minorEastAsia"/>
          <w:bCs/>
          <w:sz w:val="26"/>
          <w:szCs w:val="22"/>
        </w:rPr>
        <w:t>该项目职工定员40人，</w:t>
      </w:r>
      <w:r>
        <w:rPr>
          <w:rFonts w:ascii="Times New Roman" w:hAnsi="Times New Roman" w:eastAsiaTheme="minorEastAsia"/>
          <w:bCs/>
          <w:sz w:val="26"/>
          <w:szCs w:val="22"/>
        </w:rPr>
        <w:t>生活垃圾产生量</w:t>
      </w:r>
      <w:r>
        <w:rPr>
          <w:rFonts w:hint="eastAsia" w:ascii="Times New Roman" w:hAnsi="Times New Roman" w:eastAsiaTheme="minorEastAsia"/>
          <w:bCs/>
          <w:sz w:val="26"/>
          <w:szCs w:val="22"/>
        </w:rPr>
        <w:t>约6</w:t>
      </w:r>
      <w:r>
        <w:rPr>
          <w:rFonts w:ascii="Times New Roman" w:hAnsi="Times New Roman" w:eastAsiaTheme="minorEastAsia"/>
          <w:bCs/>
          <w:sz w:val="26"/>
          <w:szCs w:val="22"/>
        </w:rPr>
        <w:t>t/a，集中收集后</w:t>
      </w:r>
      <w:r>
        <w:rPr>
          <w:rFonts w:hint="eastAsia" w:ascii="Times New Roman" w:hAnsi="Times New Roman" w:eastAsiaTheme="minorEastAsia"/>
          <w:bCs/>
          <w:sz w:val="26"/>
          <w:szCs w:val="22"/>
        </w:rPr>
        <w:t>交</w:t>
      </w:r>
      <w:r>
        <w:rPr>
          <w:rFonts w:ascii="Times New Roman" w:hAnsi="Times New Roman" w:eastAsiaTheme="minorEastAsia"/>
          <w:bCs/>
          <w:sz w:val="26"/>
          <w:szCs w:val="22"/>
        </w:rPr>
        <w:t>由环卫部</w:t>
      </w:r>
      <w:r>
        <w:rPr>
          <w:rFonts w:hint="eastAsia" w:ascii="Times New Roman" w:hAnsi="Times New Roman" w:eastAsiaTheme="minorEastAsia"/>
          <w:bCs/>
          <w:sz w:val="26"/>
          <w:szCs w:val="22"/>
        </w:rPr>
        <w:t>门</w:t>
      </w:r>
      <w:r>
        <w:rPr>
          <w:rFonts w:ascii="Times New Roman" w:hAnsi="Times New Roman" w:eastAsiaTheme="minorEastAsia"/>
          <w:bCs/>
          <w:sz w:val="26"/>
          <w:szCs w:val="22"/>
        </w:rPr>
        <w:t>统一处理</w:t>
      </w:r>
      <w:r>
        <w:rPr>
          <w:rFonts w:hint="eastAsia" w:ascii="Times New Roman" w:hAnsi="Times New Roman" w:eastAsiaTheme="minorEastAsia"/>
          <w:bCs/>
          <w:sz w:val="26"/>
          <w:szCs w:val="22"/>
        </w:rPr>
        <w:t>；</w:t>
      </w:r>
    </w:p>
    <w:p>
      <w:pPr>
        <w:pStyle w:val="71"/>
        <w:ind w:firstLine="520"/>
        <w:rPr>
          <w:rFonts w:ascii="Times New Roman" w:hAnsi="Times New Roman" w:eastAsiaTheme="minorEastAsia"/>
          <w:b/>
          <w:sz w:val="26"/>
          <w:szCs w:val="22"/>
        </w:rPr>
      </w:pPr>
      <w:r>
        <w:rPr>
          <w:rFonts w:hint="eastAsia" w:ascii="Times New Roman" w:hAnsi="Times New Roman" w:eastAsiaTheme="minorEastAsia"/>
          <w:b/>
          <w:sz w:val="26"/>
          <w:szCs w:val="22"/>
        </w:rPr>
        <w:t>2、危险废物</w:t>
      </w:r>
    </w:p>
    <w:p>
      <w:pPr>
        <w:pStyle w:val="71"/>
        <w:ind w:firstLine="520"/>
        <w:rPr>
          <w:rFonts w:ascii="Times New Roman" w:hAnsi="Times New Roman" w:eastAsiaTheme="minorEastAsia"/>
          <w:sz w:val="26"/>
          <w:szCs w:val="22"/>
        </w:rPr>
      </w:pPr>
      <w:r>
        <w:rPr>
          <w:rFonts w:hint="eastAsia" w:ascii="Times New Roman" w:hAnsi="Times New Roman" w:eastAsiaTheme="minorEastAsia"/>
          <w:sz w:val="26"/>
          <w:szCs w:val="22"/>
        </w:rPr>
        <w:t>（1）</w:t>
      </w:r>
      <w:r>
        <w:rPr>
          <w:rFonts w:ascii="Times New Roman" w:hAnsi="Times New Roman" w:eastAsiaTheme="minorEastAsia"/>
          <w:bCs/>
          <w:sz w:val="26"/>
          <w:szCs w:val="22"/>
        </w:rPr>
        <w:t>废胶桶：废胶桶产生量</w:t>
      </w:r>
      <w:r>
        <w:rPr>
          <w:rFonts w:hint="eastAsia" w:ascii="Times New Roman" w:hAnsi="Times New Roman" w:eastAsiaTheme="minorEastAsia"/>
          <w:bCs/>
          <w:sz w:val="26"/>
          <w:szCs w:val="22"/>
        </w:rPr>
        <w:t>约1.44</w:t>
      </w:r>
      <w:r>
        <w:rPr>
          <w:rFonts w:ascii="Times New Roman" w:hAnsi="Times New Roman" w:eastAsiaTheme="minorEastAsia"/>
          <w:bCs/>
          <w:sz w:val="26"/>
          <w:szCs w:val="22"/>
        </w:rPr>
        <w:t>t/a，</w:t>
      </w:r>
      <w:r>
        <w:rPr>
          <w:rFonts w:ascii="Times New Roman" w:hAnsi="Times New Roman" w:eastAsiaTheme="minorEastAsia"/>
          <w:sz w:val="26"/>
          <w:szCs w:val="22"/>
        </w:rPr>
        <w:t>对照《国家危险废物名录》（2016），属于危险废物HW49（废物代码900-041-49），根据《关于用于原始用途的含有或直接沾染危险废物的包装物、容器是否属于危险废物的复函》（环函[2014]126号），本项目生产过程产生的废白乳胶桶不属于危险废物。为控制废白乳胶桶在回收过程产生的环境风险，企业按照危险废物的有关规定和要求对其储存、运输，收集后由生产厂家负责回收重新利用。</w:t>
      </w:r>
    </w:p>
    <w:p>
      <w:pPr>
        <w:pStyle w:val="71"/>
        <w:ind w:firstLine="520"/>
        <w:rPr>
          <w:rFonts w:ascii="Times New Roman" w:hAnsi="Times New Roman" w:eastAsiaTheme="minorEastAsia"/>
          <w:sz w:val="26"/>
          <w:szCs w:val="22"/>
        </w:rPr>
      </w:pPr>
      <w:r>
        <w:rPr>
          <w:rFonts w:ascii="Times New Roman" w:hAnsi="Times New Roman" w:eastAsiaTheme="minorEastAsia"/>
          <w:bCs/>
          <w:sz w:val="26"/>
          <w:szCs w:val="22"/>
        </w:rPr>
        <w:t>（2）</w:t>
      </w:r>
      <w:r>
        <w:rPr>
          <w:rFonts w:hint="eastAsia" w:ascii="Times New Roman" w:hAnsi="Times New Roman" w:eastAsiaTheme="minorEastAsia"/>
          <w:bCs/>
          <w:sz w:val="26"/>
          <w:szCs w:val="22"/>
        </w:rPr>
        <w:t>废胶渣：产生量约0.18t/a，</w:t>
      </w:r>
      <w:r>
        <w:rPr>
          <w:rFonts w:hint="eastAsia" w:ascii="Times New Roman" w:hAnsi="Times New Roman" w:eastAsiaTheme="minorEastAsia"/>
          <w:sz w:val="26"/>
          <w:szCs w:val="22"/>
        </w:rPr>
        <w:t>根据《国家危险废物名录》（2016年），废胶渣属于代码为</w:t>
      </w:r>
      <w:r>
        <w:rPr>
          <w:rFonts w:ascii="Times New Roman" w:hAnsi="Times New Roman" w:eastAsiaTheme="minorEastAsia"/>
          <w:sz w:val="26"/>
          <w:szCs w:val="22"/>
        </w:rPr>
        <w:t>HW13</w:t>
      </w:r>
      <w:r>
        <w:rPr>
          <w:rFonts w:hint="eastAsia" w:ascii="Times New Roman" w:hAnsi="Times New Roman" w:eastAsiaTheme="minorEastAsia"/>
          <w:sz w:val="26"/>
          <w:szCs w:val="22"/>
        </w:rPr>
        <w:t>（900-014-13）的危险废物，企业应收集后交由有资质的单位进行处理。</w:t>
      </w:r>
    </w:p>
    <w:p>
      <w:pPr>
        <w:pStyle w:val="71"/>
        <w:ind w:firstLine="520"/>
        <w:rPr>
          <w:rFonts w:ascii="Times New Roman" w:hAnsi="Times New Roman" w:eastAsiaTheme="minorEastAsia"/>
          <w:bCs/>
          <w:sz w:val="26"/>
          <w:szCs w:val="22"/>
        </w:rPr>
      </w:pPr>
      <w:r>
        <w:rPr>
          <w:rFonts w:hint="eastAsia" w:ascii="Times New Roman" w:hAnsi="Times New Roman" w:eastAsiaTheme="minorEastAsia"/>
          <w:sz w:val="26"/>
          <w:szCs w:val="22"/>
        </w:rPr>
        <w:t>（3）</w:t>
      </w:r>
      <w:r>
        <w:rPr>
          <w:rFonts w:ascii="Times New Roman" w:hAnsi="Times New Roman" w:eastAsiaTheme="minorEastAsia"/>
          <w:bCs/>
          <w:sz w:val="26"/>
          <w:szCs w:val="22"/>
        </w:rPr>
        <w:t>废液压油及其包装物：废液压油</w:t>
      </w:r>
      <w:r>
        <w:rPr>
          <w:rFonts w:hint="eastAsia" w:ascii="Times New Roman" w:hAnsi="Times New Roman" w:eastAsiaTheme="minorEastAsia"/>
          <w:bCs/>
          <w:sz w:val="26"/>
          <w:szCs w:val="22"/>
        </w:rPr>
        <w:t>一年更换一次，</w:t>
      </w:r>
      <w:r>
        <w:rPr>
          <w:rFonts w:ascii="Times New Roman" w:hAnsi="Times New Roman" w:eastAsiaTheme="minorEastAsia"/>
          <w:bCs/>
          <w:sz w:val="26"/>
          <w:szCs w:val="22"/>
        </w:rPr>
        <w:t>产生量约0.1t/a，废液压油包装物产生量约0.01t/a，委托有资质单位进行处理。</w:t>
      </w:r>
    </w:p>
    <w:p>
      <w:pPr>
        <w:pStyle w:val="71"/>
        <w:ind w:firstLine="520"/>
        <w:rPr>
          <w:rFonts w:ascii="Times New Roman" w:hAnsi="Times New Roman" w:eastAsiaTheme="minorEastAsia"/>
          <w:sz w:val="26"/>
          <w:szCs w:val="22"/>
        </w:rPr>
      </w:pPr>
      <w:r>
        <w:rPr>
          <w:rFonts w:hint="eastAsia" w:ascii="Times New Roman" w:hAnsi="Times New Roman" w:eastAsiaTheme="minorEastAsia"/>
          <w:bCs/>
          <w:sz w:val="26"/>
          <w:szCs w:val="22"/>
        </w:rPr>
        <w:t>（4）</w:t>
      </w:r>
      <w:r>
        <w:rPr>
          <w:rFonts w:hint="eastAsia" w:ascii="Times New Roman" w:hAnsi="Times New Roman"/>
          <w:bCs/>
          <w:sz w:val="26"/>
          <w:szCs w:val="22"/>
        </w:rPr>
        <w:t>废切削油：废切削液油属于危险废物，危废类别为HW09油/水、烃/水混合物或乳化液，废物代码900-006-09，该项目废切削液</w:t>
      </w:r>
      <w:r>
        <w:rPr>
          <w:rFonts w:hint="eastAsia" w:ascii="Times New Roman" w:hAnsi="Times New Roman" w:eastAsiaTheme="minorEastAsia"/>
          <w:bCs/>
          <w:sz w:val="26"/>
          <w:szCs w:val="22"/>
        </w:rPr>
        <w:t>一年更换一次，产生量约0.03</w:t>
      </w:r>
      <w:r>
        <w:rPr>
          <w:rFonts w:ascii="Times New Roman" w:hAnsi="Times New Roman" w:eastAsiaTheme="minorEastAsia"/>
          <w:bCs/>
          <w:sz w:val="26"/>
          <w:szCs w:val="22"/>
        </w:rPr>
        <w:t>t/a</w:t>
      </w:r>
      <w:r>
        <w:rPr>
          <w:rFonts w:hint="eastAsia" w:ascii="Times New Roman" w:hAnsi="Times New Roman" w:eastAsiaTheme="minorEastAsia"/>
          <w:bCs/>
          <w:sz w:val="26"/>
          <w:szCs w:val="22"/>
        </w:rPr>
        <w:t>，</w:t>
      </w:r>
      <w:r>
        <w:rPr>
          <w:rFonts w:hint="eastAsia" w:ascii="Times New Roman" w:hAnsi="Times New Roman"/>
          <w:bCs/>
          <w:sz w:val="26"/>
          <w:szCs w:val="22"/>
        </w:rPr>
        <w:t>待产生时委托有危险废物处理资质的单位处理。</w:t>
      </w:r>
    </w:p>
    <w:tbl>
      <w:tblPr>
        <w:tblStyle w:val="48"/>
        <w:tblW w:w="8931"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343"/>
        <w:gridCol w:w="4588"/>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3891" w:hRule="atLeast"/>
        </w:trPr>
        <w:tc>
          <w:tcPr>
            <w:tcW w:w="4343" w:type="dxa"/>
          </w:tcPr>
          <w:p>
            <w:pPr>
              <w:spacing w:line="240" w:lineRule="auto"/>
              <w:jc w:val="center"/>
            </w:pPr>
            <w:r>
              <w:drawing>
                <wp:inline distT="0" distB="0" distL="0" distR="0">
                  <wp:extent cx="2276475" cy="2443480"/>
                  <wp:effectExtent l="19050" t="0" r="9525" b="0"/>
                  <wp:docPr id="24" name="图片 24" descr="C:\Users\ADMINI~1\AppData\Local\Temp\WeChat Files\74967087424345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WeChat Files\749670874243454743.jpg"/>
                          <pic:cNvPicPr>
                            <a:picLocks noChangeAspect="1" noChangeArrowheads="1"/>
                          </pic:cNvPicPr>
                        </pic:nvPicPr>
                        <pic:blipFill>
                          <a:blip r:embed="rId52" cstate="print"/>
                          <a:srcRect/>
                          <a:stretch>
                            <a:fillRect/>
                          </a:stretch>
                        </pic:blipFill>
                        <pic:spPr>
                          <a:xfrm>
                            <a:off x="0" y="0"/>
                            <a:ext cx="2286191" cy="2454155"/>
                          </a:xfrm>
                          <a:prstGeom prst="rect">
                            <a:avLst/>
                          </a:prstGeom>
                          <a:noFill/>
                          <a:ln w="9525">
                            <a:noFill/>
                            <a:miter lim="800000"/>
                            <a:headEnd/>
                            <a:tailEnd/>
                          </a:ln>
                        </pic:spPr>
                      </pic:pic>
                    </a:graphicData>
                  </a:graphic>
                </wp:inline>
              </w:drawing>
            </w:r>
          </w:p>
          <w:p>
            <w:pPr>
              <w:spacing w:line="240" w:lineRule="auto"/>
              <w:jc w:val="center"/>
              <w:rPr>
                <w:sz w:val="22"/>
              </w:rPr>
            </w:pPr>
            <w:r>
              <w:rPr>
                <w:rFonts w:hint="eastAsia"/>
                <w:sz w:val="22"/>
              </w:rPr>
              <w:t>危险废物暂存</w:t>
            </w:r>
          </w:p>
        </w:tc>
        <w:tc>
          <w:tcPr>
            <w:tcW w:w="4588" w:type="dxa"/>
          </w:tcPr>
          <w:p>
            <w:pPr>
              <w:spacing w:line="240" w:lineRule="auto"/>
              <w:jc w:val="center"/>
              <w:rPr>
                <w:sz w:val="22"/>
              </w:rPr>
            </w:pPr>
            <w:r>
              <w:rPr>
                <w:sz w:val="22"/>
              </w:rPr>
              <w:drawing>
                <wp:inline distT="0" distB="0" distL="0" distR="0">
                  <wp:extent cx="1969135" cy="2447925"/>
                  <wp:effectExtent l="19050" t="0" r="0" b="0"/>
                  <wp:docPr id="10" name="图片 3" descr="C:\Users\ADMINI~1\AppData\Local\Temp\WeChat Files\69998574906245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1\AppData\Local\Temp\WeChat Files\699985749062455549.jpg"/>
                          <pic:cNvPicPr>
                            <a:picLocks noChangeAspect="1" noChangeArrowheads="1"/>
                          </pic:cNvPicPr>
                        </pic:nvPicPr>
                        <pic:blipFill>
                          <a:blip r:embed="rId53" cstate="print"/>
                          <a:srcRect/>
                          <a:stretch>
                            <a:fillRect/>
                          </a:stretch>
                        </pic:blipFill>
                        <pic:spPr>
                          <a:xfrm>
                            <a:off x="0" y="0"/>
                            <a:ext cx="1969294" cy="2447925"/>
                          </a:xfrm>
                          <a:prstGeom prst="rect">
                            <a:avLst/>
                          </a:prstGeom>
                          <a:noFill/>
                          <a:ln w="9525">
                            <a:noFill/>
                            <a:miter lim="800000"/>
                            <a:headEnd/>
                            <a:tailEnd/>
                          </a:ln>
                        </pic:spPr>
                      </pic:pic>
                    </a:graphicData>
                  </a:graphic>
                </wp:inline>
              </w:drawing>
            </w:r>
          </w:p>
          <w:p>
            <w:pPr>
              <w:spacing w:line="240" w:lineRule="auto"/>
              <w:jc w:val="center"/>
              <w:rPr>
                <w:sz w:val="22"/>
              </w:rPr>
            </w:pPr>
            <w:r>
              <w:rPr>
                <w:rFonts w:hint="eastAsia"/>
                <w:sz w:val="22"/>
              </w:rPr>
              <w:t>危险废物暂存</w:t>
            </w:r>
          </w:p>
        </w:tc>
      </w:tr>
    </w:tbl>
    <w:p>
      <w:pPr>
        <w:spacing w:beforeLines="50" w:line="240" w:lineRule="auto"/>
        <w:ind w:firstLine="510"/>
        <w:jc w:val="center"/>
      </w:pPr>
      <w:r>
        <w:t>表</w:t>
      </w:r>
      <w:r>
        <w:rPr>
          <w:rFonts w:hint="eastAsia"/>
        </w:rPr>
        <w:t>4.1</w:t>
      </w:r>
      <w:r>
        <w:t>-</w:t>
      </w:r>
      <w:r>
        <w:rPr>
          <w:rFonts w:hint="eastAsia"/>
        </w:rPr>
        <w:t>4 固废处理情况</w:t>
      </w:r>
      <w:r>
        <w:t>一览表</w:t>
      </w:r>
    </w:p>
    <w:tbl>
      <w:tblPr>
        <w:tblStyle w:val="48"/>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854"/>
        <w:gridCol w:w="1673"/>
        <w:gridCol w:w="2276"/>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b/>
                <w:sz w:val="22"/>
              </w:rPr>
            </w:pPr>
            <w:r>
              <w:rPr>
                <w:b/>
                <w:sz w:val="22"/>
              </w:rPr>
              <w:t>序号</w:t>
            </w:r>
          </w:p>
        </w:tc>
        <w:tc>
          <w:tcPr>
            <w:tcW w:w="2527" w:type="dxa"/>
            <w:gridSpan w:val="2"/>
            <w:vAlign w:val="center"/>
          </w:tcPr>
          <w:p>
            <w:pPr>
              <w:widowControl/>
              <w:spacing w:line="240" w:lineRule="auto"/>
              <w:jc w:val="center"/>
              <w:rPr>
                <w:b/>
                <w:sz w:val="22"/>
              </w:rPr>
            </w:pPr>
            <w:r>
              <w:rPr>
                <w:rFonts w:hint="eastAsia"/>
                <w:b/>
                <w:sz w:val="22"/>
              </w:rPr>
              <w:t>固废名称</w:t>
            </w:r>
          </w:p>
        </w:tc>
        <w:tc>
          <w:tcPr>
            <w:tcW w:w="2276" w:type="dxa"/>
            <w:vAlign w:val="center"/>
          </w:tcPr>
          <w:p>
            <w:pPr>
              <w:widowControl/>
              <w:spacing w:line="240" w:lineRule="auto"/>
              <w:jc w:val="center"/>
              <w:rPr>
                <w:b/>
                <w:sz w:val="22"/>
              </w:rPr>
            </w:pPr>
            <w:r>
              <w:rPr>
                <w:rFonts w:hint="eastAsia"/>
                <w:b/>
                <w:sz w:val="22"/>
              </w:rPr>
              <w:t>产生量</w:t>
            </w:r>
            <w:r>
              <w:rPr>
                <w:rFonts w:hint="eastAsia"/>
                <w:sz w:val="22"/>
              </w:rPr>
              <w:t>t/a</w:t>
            </w:r>
          </w:p>
        </w:tc>
        <w:tc>
          <w:tcPr>
            <w:tcW w:w="3167" w:type="dxa"/>
            <w:tcBorders>
              <w:left w:val="single" w:color="auto" w:sz="6" w:space="0"/>
            </w:tcBorders>
            <w:vAlign w:val="center"/>
          </w:tcPr>
          <w:p>
            <w:pPr>
              <w:widowControl/>
              <w:spacing w:line="240" w:lineRule="auto"/>
              <w:jc w:val="center"/>
              <w:rPr>
                <w:b/>
                <w:sz w:val="22"/>
                <w:highlight w:val="yellow"/>
              </w:rPr>
            </w:pPr>
            <w:r>
              <w:rPr>
                <w:rFonts w:hint="eastAsia"/>
                <w:b/>
                <w:sz w:val="22"/>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r>
              <w:rPr>
                <w:sz w:val="22"/>
              </w:rPr>
              <w:t>1</w:t>
            </w:r>
          </w:p>
        </w:tc>
        <w:tc>
          <w:tcPr>
            <w:tcW w:w="854" w:type="dxa"/>
            <w:vMerge w:val="restart"/>
            <w:vAlign w:val="center"/>
          </w:tcPr>
          <w:p>
            <w:pPr>
              <w:widowControl/>
              <w:spacing w:line="240" w:lineRule="auto"/>
              <w:jc w:val="center"/>
              <w:rPr>
                <w:sz w:val="22"/>
              </w:rPr>
            </w:pPr>
            <w:r>
              <w:rPr>
                <w:rFonts w:hint="eastAsia"/>
                <w:sz w:val="22"/>
              </w:rPr>
              <w:t>一般固废</w:t>
            </w:r>
          </w:p>
        </w:tc>
        <w:tc>
          <w:tcPr>
            <w:tcW w:w="1673" w:type="dxa"/>
            <w:vAlign w:val="center"/>
          </w:tcPr>
          <w:p>
            <w:pPr>
              <w:widowControl/>
              <w:spacing w:line="240" w:lineRule="auto"/>
              <w:jc w:val="center"/>
              <w:rPr>
                <w:sz w:val="22"/>
              </w:rPr>
            </w:pPr>
            <w:r>
              <w:rPr>
                <w:bCs/>
                <w:sz w:val="22"/>
              </w:rPr>
              <w:t>布袋除尘器收集的粉尘</w:t>
            </w:r>
          </w:p>
        </w:tc>
        <w:tc>
          <w:tcPr>
            <w:tcW w:w="2276" w:type="dxa"/>
            <w:vAlign w:val="center"/>
          </w:tcPr>
          <w:p>
            <w:pPr>
              <w:widowControl/>
              <w:spacing w:line="240" w:lineRule="auto"/>
              <w:jc w:val="center"/>
              <w:rPr>
                <w:sz w:val="22"/>
              </w:rPr>
            </w:pPr>
            <w:r>
              <w:rPr>
                <w:rFonts w:hint="eastAsia"/>
                <w:sz w:val="22"/>
              </w:rPr>
              <w:t>15</w:t>
            </w:r>
          </w:p>
        </w:tc>
        <w:tc>
          <w:tcPr>
            <w:tcW w:w="3167" w:type="dxa"/>
            <w:tcBorders>
              <w:left w:val="single" w:color="auto" w:sz="6" w:space="0"/>
            </w:tcBorders>
            <w:vAlign w:val="center"/>
          </w:tcPr>
          <w:p>
            <w:pPr>
              <w:widowControl/>
              <w:spacing w:line="240" w:lineRule="auto"/>
              <w:jc w:val="center"/>
              <w:rPr>
                <w:sz w:val="22"/>
                <w:highlight w:val="yellow"/>
              </w:rPr>
            </w:pPr>
            <w:r>
              <w:rPr>
                <w:rFonts w:hint="eastAsia"/>
                <w:sz w:val="22"/>
              </w:rPr>
              <w:t>收集后外卖综合利用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r>
              <w:rPr>
                <w:rFonts w:hint="eastAsia"/>
                <w:sz w:val="22"/>
              </w:rPr>
              <w:t>2</w:t>
            </w:r>
          </w:p>
        </w:tc>
        <w:tc>
          <w:tcPr>
            <w:tcW w:w="854" w:type="dxa"/>
            <w:vMerge w:val="continue"/>
            <w:vAlign w:val="center"/>
          </w:tcPr>
          <w:p>
            <w:pPr>
              <w:widowControl/>
              <w:spacing w:line="240" w:lineRule="auto"/>
              <w:jc w:val="center"/>
              <w:rPr>
                <w:sz w:val="22"/>
              </w:rPr>
            </w:pPr>
          </w:p>
        </w:tc>
        <w:tc>
          <w:tcPr>
            <w:tcW w:w="1673" w:type="dxa"/>
            <w:vAlign w:val="center"/>
          </w:tcPr>
          <w:p>
            <w:pPr>
              <w:widowControl/>
              <w:spacing w:line="240" w:lineRule="auto"/>
              <w:jc w:val="center"/>
              <w:rPr>
                <w:sz w:val="22"/>
              </w:rPr>
            </w:pPr>
            <w:r>
              <w:rPr>
                <w:bCs/>
                <w:sz w:val="22"/>
              </w:rPr>
              <w:t>石膏浆渣</w:t>
            </w:r>
            <w:r>
              <w:rPr>
                <w:rFonts w:hint="eastAsia"/>
                <w:bCs/>
                <w:sz w:val="22"/>
              </w:rPr>
              <w:t>及</w:t>
            </w:r>
            <w:r>
              <w:rPr>
                <w:bCs/>
                <w:sz w:val="22"/>
              </w:rPr>
              <w:t>不合格品</w:t>
            </w:r>
          </w:p>
        </w:tc>
        <w:tc>
          <w:tcPr>
            <w:tcW w:w="2276" w:type="dxa"/>
            <w:vAlign w:val="center"/>
          </w:tcPr>
          <w:p>
            <w:pPr>
              <w:widowControl/>
              <w:spacing w:line="240" w:lineRule="auto"/>
              <w:jc w:val="center"/>
              <w:rPr>
                <w:sz w:val="22"/>
              </w:rPr>
            </w:pPr>
            <w:r>
              <w:rPr>
                <w:rFonts w:hint="eastAsia"/>
                <w:sz w:val="22"/>
              </w:rPr>
              <w:t>1.2</w:t>
            </w:r>
          </w:p>
        </w:tc>
        <w:tc>
          <w:tcPr>
            <w:tcW w:w="3167" w:type="dxa"/>
            <w:tcBorders>
              <w:left w:val="single" w:color="auto" w:sz="6" w:space="0"/>
            </w:tcBorders>
            <w:vAlign w:val="center"/>
          </w:tcPr>
          <w:p>
            <w:pPr>
              <w:jc w:val="center"/>
              <w:rPr>
                <w:sz w:val="22"/>
                <w:highlight w:val="yellow"/>
              </w:rPr>
            </w:pPr>
            <w:r>
              <w:rPr>
                <w:bCs/>
                <w:sz w:val="22"/>
              </w:rPr>
              <w:t>收集后外卖用作建筑材料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r>
              <w:rPr>
                <w:rFonts w:hint="eastAsia"/>
                <w:sz w:val="22"/>
              </w:rPr>
              <w:t>3</w:t>
            </w:r>
          </w:p>
        </w:tc>
        <w:tc>
          <w:tcPr>
            <w:tcW w:w="854" w:type="dxa"/>
            <w:vMerge w:val="continue"/>
            <w:vAlign w:val="center"/>
          </w:tcPr>
          <w:p>
            <w:pPr>
              <w:widowControl/>
              <w:spacing w:line="240" w:lineRule="auto"/>
              <w:jc w:val="center"/>
              <w:rPr>
                <w:sz w:val="22"/>
              </w:rPr>
            </w:pPr>
          </w:p>
        </w:tc>
        <w:tc>
          <w:tcPr>
            <w:tcW w:w="1673" w:type="dxa"/>
            <w:vAlign w:val="center"/>
          </w:tcPr>
          <w:p>
            <w:pPr>
              <w:widowControl/>
              <w:spacing w:line="240" w:lineRule="auto"/>
              <w:jc w:val="center"/>
              <w:rPr>
                <w:sz w:val="22"/>
              </w:rPr>
            </w:pPr>
            <w:r>
              <w:rPr>
                <w:bCs/>
                <w:sz w:val="22"/>
              </w:rPr>
              <w:t>下脚料和铁屑</w:t>
            </w:r>
          </w:p>
        </w:tc>
        <w:tc>
          <w:tcPr>
            <w:tcW w:w="2276" w:type="dxa"/>
            <w:vAlign w:val="center"/>
          </w:tcPr>
          <w:p>
            <w:pPr>
              <w:widowControl/>
              <w:spacing w:line="240" w:lineRule="auto"/>
              <w:jc w:val="center"/>
              <w:rPr>
                <w:sz w:val="22"/>
              </w:rPr>
            </w:pPr>
            <w:r>
              <w:rPr>
                <w:rFonts w:hint="eastAsia"/>
                <w:sz w:val="22"/>
              </w:rPr>
              <w:t>0.8</w:t>
            </w:r>
          </w:p>
        </w:tc>
        <w:tc>
          <w:tcPr>
            <w:tcW w:w="3167" w:type="dxa"/>
            <w:vMerge w:val="restart"/>
            <w:tcBorders>
              <w:left w:val="single" w:color="auto" w:sz="6" w:space="0"/>
            </w:tcBorders>
            <w:vAlign w:val="center"/>
          </w:tcPr>
          <w:p>
            <w:pPr>
              <w:widowControl/>
              <w:spacing w:line="240" w:lineRule="auto"/>
              <w:jc w:val="center"/>
              <w:rPr>
                <w:sz w:val="22"/>
                <w:highlight w:val="yellow"/>
              </w:rPr>
            </w:pPr>
            <w:r>
              <w:rPr>
                <w:bCs/>
                <w:sz w:val="22"/>
              </w:rPr>
              <w:t>收集后外卖废品回收站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r>
              <w:rPr>
                <w:rFonts w:hint="eastAsia"/>
                <w:sz w:val="22"/>
              </w:rPr>
              <w:t>4</w:t>
            </w:r>
          </w:p>
        </w:tc>
        <w:tc>
          <w:tcPr>
            <w:tcW w:w="854" w:type="dxa"/>
            <w:vMerge w:val="continue"/>
            <w:vAlign w:val="center"/>
          </w:tcPr>
          <w:p>
            <w:pPr>
              <w:widowControl/>
              <w:spacing w:line="240" w:lineRule="auto"/>
              <w:jc w:val="center"/>
              <w:rPr>
                <w:sz w:val="22"/>
              </w:rPr>
            </w:pPr>
          </w:p>
        </w:tc>
        <w:tc>
          <w:tcPr>
            <w:tcW w:w="1673" w:type="dxa"/>
            <w:vAlign w:val="center"/>
          </w:tcPr>
          <w:p>
            <w:pPr>
              <w:widowControl/>
              <w:spacing w:line="240" w:lineRule="auto"/>
              <w:jc w:val="center"/>
              <w:rPr>
                <w:sz w:val="22"/>
              </w:rPr>
            </w:pPr>
            <w:r>
              <w:rPr>
                <w:bCs/>
                <w:sz w:val="22"/>
              </w:rPr>
              <w:t>废包装材料</w:t>
            </w:r>
          </w:p>
        </w:tc>
        <w:tc>
          <w:tcPr>
            <w:tcW w:w="2276" w:type="dxa"/>
            <w:vAlign w:val="center"/>
          </w:tcPr>
          <w:p>
            <w:pPr>
              <w:widowControl/>
              <w:spacing w:line="240" w:lineRule="auto"/>
              <w:jc w:val="center"/>
              <w:rPr>
                <w:sz w:val="22"/>
              </w:rPr>
            </w:pPr>
            <w:r>
              <w:rPr>
                <w:rFonts w:hint="eastAsia"/>
                <w:sz w:val="22"/>
              </w:rPr>
              <w:t>2.5</w:t>
            </w:r>
          </w:p>
        </w:tc>
        <w:tc>
          <w:tcPr>
            <w:tcW w:w="3167" w:type="dxa"/>
            <w:vMerge w:val="continue"/>
            <w:tcBorders>
              <w:left w:val="single" w:color="auto" w:sz="6" w:space="0"/>
            </w:tcBorders>
            <w:vAlign w:val="center"/>
          </w:tcPr>
          <w:p>
            <w:pPr>
              <w:widowControl/>
              <w:spacing w:line="240" w:lineRule="auto"/>
              <w:jc w:val="center"/>
              <w:rPr>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r>
              <w:rPr>
                <w:rFonts w:hint="eastAsia"/>
                <w:sz w:val="22"/>
              </w:rPr>
              <w:t>5</w:t>
            </w:r>
          </w:p>
        </w:tc>
        <w:tc>
          <w:tcPr>
            <w:tcW w:w="854" w:type="dxa"/>
            <w:vMerge w:val="continue"/>
            <w:vAlign w:val="center"/>
          </w:tcPr>
          <w:p>
            <w:pPr>
              <w:widowControl/>
              <w:spacing w:line="240" w:lineRule="auto"/>
              <w:jc w:val="center"/>
              <w:rPr>
                <w:sz w:val="22"/>
              </w:rPr>
            </w:pPr>
          </w:p>
        </w:tc>
        <w:tc>
          <w:tcPr>
            <w:tcW w:w="1673" w:type="dxa"/>
            <w:vAlign w:val="center"/>
          </w:tcPr>
          <w:p>
            <w:pPr>
              <w:widowControl/>
              <w:spacing w:line="240" w:lineRule="auto"/>
              <w:jc w:val="center"/>
              <w:rPr>
                <w:sz w:val="22"/>
              </w:rPr>
            </w:pPr>
            <w:r>
              <w:rPr>
                <w:bCs/>
                <w:sz w:val="22"/>
              </w:rPr>
              <w:t>焊渣</w:t>
            </w:r>
          </w:p>
        </w:tc>
        <w:tc>
          <w:tcPr>
            <w:tcW w:w="2276" w:type="dxa"/>
            <w:vAlign w:val="center"/>
          </w:tcPr>
          <w:p>
            <w:pPr>
              <w:widowControl/>
              <w:spacing w:line="240" w:lineRule="auto"/>
              <w:jc w:val="center"/>
              <w:rPr>
                <w:sz w:val="22"/>
              </w:rPr>
            </w:pPr>
            <w:r>
              <w:rPr>
                <w:rFonts w:hint="eastAsia"/>
                <w:sz w:val="22"/>
              </w:rPr>
              <w:t>0.0075</w:t>
            </w:r>
          </w:p>
        </w:tc>
        <w:tc>
          <w:tcPr>
            <w:tcW w:w="3167" w:type="dxa"/>
            <w:vMerge w:val="restart"/>
            <w:tcBorders>
              <w:left w:val="single" w:color="auto" w:sz="6" w:space="0"/>
            </w:tcBorders>
            <w:vAlign w:val="center"/>
          </w:tcPr>
          <w:p>
            <w:pPr>
              <w:widowControl/>
              <w:spacing w:line="240" w:lineRule="auto"/>
              <w:jc w:val="center"/>
              <w:rPr>
                <w:sz w:val="22"/>
                <w:highlight w:val="yellow"/>
              </w:rPr>
            </w:pPr>
            <w:r>
              <w:rPr>
                <w:bCs/>
                <w:sz w:val="22"/>
              </w:rPr>
              <w:t>收集</w:t>
            </w:r>
            <w:r>
              <w:rPr>
                <w:rFonts w:hint="eastAsia"/>
                <w:bCs/>
                <w:sz w:val="22"/>
              </w:rPr>
              <w:t>后交</w:t>
            </w:r>
            <w:r>
              <w:rPr>
                <w:bCs/>
                <w:sz w:val="22"/>
              </w:rPr>
              <w:t>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r>
              <w:rPr>
                <w:rFonts w:hint="eastAsia"/>
                <w:sz w:val="22"/>
              </w:rPr>
              <w:t>6</w:t>
            </w:r>
          </w:p>
        </w:tc>
        <w:tc>
          <w:tcPr>
            <w:tcW w:w="854" w:type="dxa"/>
            <w:vMerge w:val="continue"/>
            <w:vAlign w:val="center"/>
          </w:tcPr>
          <w:p>
            <w:pPr>
              <w:widowControl/>
              <w:spacing w:line="240" w:lineRule="auto"/>
              <w:jc w:val="center"/>
              <w:rPr>
                <w:sz w:val="22"/>
              </w:rPr>
            </w:pPr>
          </w:p>
        </w:tc>
        <w:tc>
          <w:tcPr>
            <w:tcW w:w="1673" w:type="dxa"/>
            <w:vAlign w:val="center"/>
          </w:tcPr>
          <w:p>
            <w:pPr>
              <w:widowControl/>
              <w:spacing w:line="240" w:lineRule="auto"/>
              <w:jc w:val="center"/>
              <w:rPr>
                <w:sz w:val="22"/>
              </w:rPr>
            </w:pPr>
            <w:r>
              <w:rPr>
                <w:bCs/>
                <w:sz w:val="22"/>
              </w:rPr>
              <w:t>生活垃圾</w:t>
            </w:r>
          </w:p>
        </w:tc>
        <w:tc>
          <w:tcPr>
            <w:tcW w:w="2276" w:type="dxa"/>
            <w:vAlign w:val="center"/>
          </w:tcPr>
          <w:p>
            <w:pPr>
              <w:widowControl/>
              <w:spacing w:line="240" w:lineRule="auto"/>
              <w:jc w:val="center"/>
              <w:rPr>
                <w:sz w:val="22"/>
              </w:rPr>
            </w:pPr>
            <w:r>
              <w:rPr>
                <w:rFonts w:hint="eastAsia"/>
                <w:sz w:val="22"/>
              </w:rPr>
              <w:t>6</w:t>
            </w:r>
          </w:p>
        </w:tc>
        <w:tc>
          <w:tcPr>
            <w:tcW w:w="3167" w:type="dxa"/>
            <w:vMerge w:val="continue"/>
            <w:tcBorders>
              <w:left w:val="single" w:color="auto" w:sz="6" w:space="0"/>
            </w:tcBorders>
            <w:vAlign w:val="center"/>
          </w:tcPr>
          <w:p>
            <w:pPr>
              <w:widowControl/>
              <w:spacing w:line="240" w:lineRule="auto"/>
              <w:jc w:val="center"/>
              <w:rPr>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3204" w:type="dxa"/>
            <w:gridSpan w:val="3"/>
            <w:vAlign w:val="center"/>
          </w:tcPr>
          <w:p>
            <w:pPr>
              <w:widowControl/>
              <w:spacing w:line="240" w:lineRule="auto"/>
              <w:jc w:val="center"/>
              <w:rPr>
                <w:bCs/>
                <w:sz w:val="22"/>
              </w:rPr>
            </w:pPr>
            <w:r>
              <w:rPr>
                <w:rFonts w:hint="eastAsia"/>
                <w:sz w:val="22"/>
              </w:rPr>
              <w:t>一般固废总量</w:t>
            </w:r>
          </w:p>
        </w:tc>
        <w:tc>
          <w:tcPr>
            <w:tcW w:w="2276" w:type="dxa"/>
            <w:vAlign w:val="center"/>
          </w:tcPr>
          <w:p>
            <w:pPr>
              <w:widowControl/>
              <w:spacing w:line="240" w:lineRule="auto"/>
              <w:jc w:val="center"/>
              <w:rPr>
                <w:sz w:val="22"/>
              </w:rPr>
            </w:pPr>
            <w:r>
              <w:rPr>
                <w:rFonts w:hint="eastAsia"/>
                <w:sz w:val="22"/>
              </w:rPr>
              <w:t>25.5</w:t>
            </w:r>
          </w:p>
        </w:tc>
        <w:tc>
          <w:tcPr>
            <w:tcW w:w="3167" w:type="dxa"/>
            <w:tcBorders>
              <w:left w:val="single" w:color="auto" w:sz="6" w:space="0"/>
            </w:tcBorders>
            <w:vAlign w:val="center"/>
          </w:tcPr>
          <w:p>
            <w:pPr>
              <w:widowControl/>
              <w:spacing w:line="240" w:lineRule="auto"/>
              <w:jc w:val="center"/>
              <w:rPr>
                <w:sz w:val="22"/>
              </w:rPr>
            </w:pPr>
            <w:r>
              <w:rPr>
                <w:rFonts w:hint="eastAsia"/>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r>
              <w:rPr>
                <w:rFonts w:hint="eastAsia"/>
                <w:sz w:val="22"/>
              </w:rPr>
              <w:t>7</w:t>
            </w:r>
          </w:p>
        </w:tc>
        <w:tc>
          <w:tcPr>
            <w:tcW w:w="854" w:type="dxa"/>
            <w:vMerge w:val="restart"/>
            <w:vAlign w:val="center"/>
          </w:tcPr>
          <w:p>
            <w:pPr>
              <w:widowControl/>
              <w:spacing w:line="240" w:lineRule="auto"/>
              <w:jc w:val="center"/>
              <w:rPr>
                <w:sz w:val="22"/>
              </w:rPr>
            </w:pPr>
            <w:r>
              <w:rPr>
                <w:rFonts w:hint="eastAsia"/>
                <w:sz w:val="22"/>
              </w:rPr>
              <w:t>危险废物</w:t>
            </w:r>
          </w:p>
        </w:tc>
        <w:tc>
          <w:tcPr>
            <w:tcW w:w="1673" w:type="dxa"/>
            <w:vAlign w:val="center"/>
          </w:tcPr>
          <w:p>
            <w:pPr>
              <w:widowControl/>
              <w:spacing w:line="240" w:lineRule="auto"/>
              <w:jc w:val="center"/>
              <w:rPr>
                <w:bCs/>
                <w:sz w:val="22"/>
              </w:rPr>
            </w:pPr>
            <w:r>
              <w:rPr>
                <w:bCs/>
                <w:sz w:val="22"/>
              </w:rPr>
              <w:t>废胶桶</w:t>
            </w:r>
          </w:p>
        </w:tc>
        <w:tc>
          <w:tcPr>
            <w:tcW w:w="2276" w:type="dxa"/>
            <w:vAlign w:val="center"/>
          </w:tcPr>
          <w:p>
            <w:pPr>
              <w:widowControl/>
              <w:spacing w:line="240" w:lineRule="auto"/>
              <w:jc w:val="center"/>
              <w:rPr>
                <w:sz w:val="22"/>
              </w:rPr>
            </w:pPr>
            <w:r>
              <w:rPr>
                <w:rFonts w:hint="eastAsia"/>
                <w:sz w:val="22"/>
              </w:rPr>
              <w:t>1.44</w:t>
            </w:r>
          </w:p>
        </w:tc>
        <w:tc>
          <w:tcPr>
            <w:tcW w:w="3167" w:type="dxa"/>
            <w:tcBorders>
              <w:left w:val="single" w:color="auto" w:sz="6" w:space="0"/>
            </w:tcBorders>
            <w:vAlign w:val="center"/>
          </w:tcPr>
          <w:p>
            <w:pPr>
              <w:widowControl/>
              <w:spacing w:line="240" w:lineRule="auto"/>
              <w:jc w:val="center"/>
              <w:rPr>
                <w:sz w:val="22"/>
              </w:rPr>
            </w:pPr>
            <w:r>
              <w:rPr>
                <w:sz w:val="22"/>
              </w:rPr>
              <w:t>由生产厂家负责回收重新利用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r>
              <w:rPr>
                <w:rFonts w:hint="eastAsia"/>
                <w:sz w:val="22"/>
              </w:rPr>
              <w:t>8</w:t>
            </w:r>
          </w:p>
        </w:tc>
        <w:tc>
          <w:tcPr>
            <w:tcW w:w="854" w:type="dxa"/>
            <w:vMerge w:val="continue"/>
            <w:vAlign w:val="center"/>
          </w:tcPr>
          <w:p>
            <w:pPr>
              <w:widowControl/>
              <w:spacing w:line="240" w:lineRule="auto"/>
              <w:jc w:val="center"/>
              <w:rPr>
                <w:sz w:val="22"/>
              </w:rPr>
            </w:pPr>
          </w:p>
        </w:tc>
        <w:tc>
          <w:tcPr>
            <w:tcW w:w="1673" w:type="dxa"/>
            <w:vAlign w:val="center"/>
          </w:tcPr>
          <w:p>
            <w:pPr>
              <w:widowControl/>
              <w:spacing w:line="240" w:lineRule="auto"/>
              <w:jc w:val="center"/>
              <w:rPr>
                <w:bCs/>
                <w:sz w:val="22"/>
              </w:rPr>
            </w:pPr>
            <w:r>
              <w:rPr>
                <w:rFonts w:hint="eastAsia"/>
                <w:bCs/>
                <w:sz w:val="22"/>
              </w:rPr>
              <w:t>废胶渣</w:t>
            </w:r>
          </w:p>
        </w:tc>
        <w:tc>
          <w:tcPr>
            <w:tcW w:w="2276" w:type="dxa"/>
            <w:vAlign w:val="center"/>
          </w:tcPr>
          <w:p>
            <w:pPr>
              <w:widowControl/>
              <w:spacing w:line="240" w:lineRule="auto"/>
              <w:jc w:val="center"/>
              <w:rPr>
                <w:sz w:val="22"/>
              </w:rPr>
            </w:pPr>
            <w:r>
              <w:rPr>
                <w:rFonts w:hint="eastAsia"/>
                <w:sz w:val="22"/>
              </w:rPr>
              <w:t>0.18</w:t>
            </w:r>
          </w:p>
        </w:tc>
        <w:tc>
          <w:tcPr>
            <w:tcW w:w="3167" w:type="dxa"/>
            <w:vMerge w:val="restart"/>
            <w:tcBorders>
              <w:left w:val="single" w:color="auto" w:sz="6" w:space="0"/>
            </w:tcBorders>
            <w:vAlign w:val="center"/>
          </w:tcPr>
          <w:p>
            <w:pPr>
              <w:widowControl/>
              <w:spacing w:line="240" w:lineRule="auto"/>
              <w:jc w:val="center"/>
              <w:rPr>
                <w:sz w:val="22"/>
              </w:rPr>
            </w:pPr>
            <w:r>
              <w:rPr>
                <w:rFonts w:hint="eastAsia"/>
                <w:sz w:val="22"/>
              </w:rPr>
              <w:t>委托有资质的单位处理。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p>
        </w:tc>
        <w:tc>
          <w:tcPr>
            <w:tcW w:w="854" w:type="dxa"/>
            <w:vMerge w:val="continue"/>
            <w:vAlign w:val="center"/>
          </w:tcPr>
          <w:p>
            <w:pPr>
              <w:widowControl/>
              <w:spacing w:line="240" w:lineRule="auto"/>
              <w:jc w:val="center"/>
              <w:rPr>
                <w:sz w:val="22"/>
              </w:rPr>
            </w:pPr>
          </w:p>
        </w:tc>
        <w:tc>
          <w:tcPr>
            <w:tcW w:w="1673" w:type="dxa"/>
            <w:vAlign w:val="center"/>
          </w:tcPr>
          <w:p>
            <w:pPr>
              <w:widowControl/>
              <w:spacing w:line="240" w:lineRule="auto"/>
              <w:jc w:val="center"/>
              <w:rPr>
                <w:bCs/>
                <w:sz w:val="22"/>
              </w:rPr>
            </w:pPr>
            <w:r>
              <w:rPr>
                <w:bCs/>
                <w:sz w:val="22"/>
              </w:rPr>
              <w:t>废液压油及其包装物</w:t>
            </w:r>
          </w:p>
        </w:tc>
        <w:tc>
          <w:tcPr>
            <w:tcW w:w="2276" w:type="dxa"/>
            <w:vAlign w:val="center"/>
          </w:tcPr>
          <w:p>
            <w:pPr>
              <w:widowControl/>
              <w:spacing w:line="240" w:lineRule="auto"/>
              <w:jc w:val="center"/>
              <w:rPr>
                <w:sz w:val="22"/>
              </w:rPr>
            </w:pPr>
            <w:r>
              <w:rPr>
                <w:rFonts w:hint="eastAsia"/>
                <w:sz w:val="22"/>
              </w:rPr>
              <w:t>0.11</w:t>
            </w:r>
          </w:p>
        </w:tc>
        <w:tc>
          <w:tcPr>
            <w:tcW w:w="3167" w:type="dxa"/>
            <w:vMerge w:val="continue"/>
            <w:tcBorders>
              <w:left w:val="single" w:color="auto" w:sz="6" w:space="0"/>
            </w:tcBorders>
            <w:vAlign w:val="center"/>
          </w:tcPr>
          <w:p>
            <w:pPr>
              <w:widowControl/>
              <w:spacing w:line="240" w:lineRule="auto"/>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7" w:type="dxa"/>
            <w:vAlign w:val="center"/>
          </w:tcPr>
          <w:p>
            <w:pPr>
              <w:jc w:val="center"/>
              <w:rPr>
                <w:sz w:val="22"/>
              </w:rPr>
            </w:pPr>
            <w:r>
              <w:rPr>
                <w:rFonts w:hint="eastAsia"/>
                <w:sz w:val="22"/>
              </w:rPr>
              <w:t>9</w:t>
            </w:r>
          </w:p>
        </w:tc>
        <w:tc>
          <w:tcPr>
            <w:tcW w:w="854" w:type="dxa"/>
            <w:vMerge w:val="continue"/>
            <w:vAlign w:val="center"/>
          </w:tcPr>
          <w:p>
            <w:pPr>
              <w:widowControl/>
              <w:spacing w:line="240" w:lineRule="auto"/>
              <w:jc w:val="center"/>
              <w:rPr>
                <w:sz w:val="22"/>
              </w:rPr>
            </w:pPr>
          </w:p>
        </w:tc>
        <w:tc>
          <w:tcPr>
            <w:tcW w:w="1673" w:type="dxa"/>
            <w:vAlign w:val="center"/>
          </w:tcPr>
          <w:p>
            <w:pPr>
              <w:widowControl/>
              <w:spacing w:line="240" w:lineRule="auto"/>
              <w:jc w:val="center"/>
              <w:rPr>
                <w:bCs/>
                <w:sz w:val="22"/>
              </w:rPr>
            </w:pPr>
            <w:r>
              <w:rPr>
                <w:rFonts w:hint="eastAsia"/>
                <w:bCs/>
                <w:sz w:val="22"/>
              </w:rPr>
              <w:t>废切削液</w:t>
            </w:r>
          </w:p>
        </w:tc>
        <w:tc>
          <w:tcPr>
            <w:tcW w:w="2276" w:type="dxa"/>
            <w:vAlign w:val="center"/>
          </w:tcPr>
          <w:p>
            <w:pPr>
              <w:widowControl/>
              <w:spacing w:line="240" w:lineRule="auto"/>
              <w:jc w:val="center"/>
              <w:rPr>
                <w:sz w:val="22"/>
              </w:rPr>
            </w:pPr>
            <w:r>
              <w:rPr>
                <w:rFonts w:hint="eastAsia"/>
                <w:sz w:val="22"/>
              </w:rPr>
              <w:t>0.03</w:t>
            </w:r>
          </w:p>
        </w:tc>
        <w:tc>
          <w:tcPr>
            <w:tcW w:w="3167" w:type="dxa"/>
            <w:vMerge w:val="continue"/>
            <w:tcBorders>
              <w:left w:val="single" w:color="auto" w:sz="6" w:space="0"/>
            </w:tcBorders>
            <w:vAlign w:val="center"/>
          </w:tcPr>
          <w:p>
            <w:pPr>
              <w:widowControl/>
              <w:spacing w:line="240" w:lineRule="auto"/>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3204" w:type="dxa"/>
            <w:gridSpan w:val="3"/>
            <w:vAlign w:val="center"/>
          </w:tcPr>
          <w:p>
            <w:pPr>
              <w:widowControl/>
              <w:spacing w:line="240" w:lineRule="auto"/>
              <w:jc w:val="center"/>
              <w:rPr>
                <w:sz w:val="22"/>
              </w:rPr>
            </w:pPr>
            <w:r>
              <w:rPr>
                <w:rFonts w:hint="eastAsia"/>
                <w:sz w:val="22"/>
              </w:rPr>
              <w:t>危险废物总量</w:t>
            </w:r>
          </w:p>
        </w:tc>
        <w:tc>
          <w:tcPr>
            <w:tcW w:w="2276" w:type="dxa"/>
            <w:vAlign w:val="center"/>
          </w:tcPr>
          <w:p>
            <w:pPr>
              <w:widowControl/>
              <w:spacing w:line="240" w:lineRule="auto"/>
              <w:jc w:val="center"/>
              <w:rPr>
                <w:sz w:val="22"/>
              </w:rPr>
            </w:pPr>
            <w:r>
              <w:rPr>
                <w:rFonts w:hint="eastAsia"/>
                <w:sz w:val="22"/>
              </w:rPr>
              <w:t>1.76</w:t>
            </w:r>
          </w:p>
        </w:tc>
        <w:tc>
          <w:tcPr>
            <w:tcW w:w="3167" w:type="dxa"/>
            <w:tcBorders>
              <w:left w:val="single" w:color="auto" w:sz="6" w:space="0"/>
            </w:tcBorders>
            <w:vAlign w:val="center"/>
          </w:tcPr>
          <w:p>
            <w:pPr>
              <w:widowControl/>
              <w:spacing w:line="240" w:lineRule="auto"/>
              <w:jc w:val="center"/>
              <w:rPr>
                <w:sz w:val="22"/>
              </w:rPr>
            </w:pPr>
            <w:r>
              <w:rPr>
                <w:rFonts w:hint="eastAsia"/>
                <w:sz w:val="22"/>
              </w:rPr>
              <w:t>—</w:t>
            </w:r>
          </w:p>
        </w:tc>
      </w:tr>
    </w:tbl>
    <w:p>
      <w:pPr>
        <w:pStyle w:val="3"/>
        <w:spacing w:before="70" w:after="70"/>
        <w:rPr>
          <w:color w:val="3E3E3E"/>
        </w:rPr>
      </w:pPr>
      <w:bookmarkStart w:id="54" w:name="_Toc499059469"/>
      <w:bookmarkStart w:id="55" w:name="_Toc502699364"/>
      <w:bookmarkStart w:id="56" w:name="_Toc499060206"/>
      <w:r>
        <w:t>4.2其他环保设施</w:t>
      </w:r>
      <w:bookmarkEnd w:id="54"/>
      <w:bookmarkEnd w:id="55"/>
      <w:bookmarkEnd w:id="56"/>
    </w:p>
    <w:p>
      <w:pPr>
        <w:pStyle w:val="4"/>
        <w:spacing w:before="70"/>
        <w:rPr>
          <w:color w:val="3E3E3E"/>
        </w:rPr>
      </w:pPr>
      <w:bookmarkStart w:id="57" w:name="_Toc499060207"/>
      <w:bookmarkStart w:id="58" w:name="_Toc499059470"/>
      <w:r>
        <w:t>4.2.1环境风险防范设施</w:t>
      </w:r>
      <w:bookmarkEnd w:id="57"/>
      <w:bookmarkEnd w:id="58"/>
    </w:p>
    <w:p>
      <w:pPr>
        <w:ind w:firstLine="520"/>
      </w:pPr>
      <w:r>
        <w:t>（</w:t>
      </w:r>
      <w:r>
        <w:rPr>
          <w:rFonts w:hint="eastAsia"/>
        </w:rPr>
        <w:t>1</w:t>
      </w:r>
      <w:r>
        <w:t>）厂区防渗</w:t>
      </w:r>
    </w:p>
    <w:p>
      <w:pPr>
        <w:ind w:firstLine="520"/>
        <w:rPr>
          <w:color w:val="FF0000"/>
        </w:rPr>
      </w:pPr>
      <w:r>
        <w:t>对生产区域</w:t>
      </w:r>
      <w:r>
        <w:rPr>
          <w:rFonts w:hint="eastAsia"/>
        </w:rPr>
        <w:t>及危废库</w:t>
      </w:r>
      <w:r>
        <w:t>等重点区域进行了防渗处理。</w:t>
      </w:r>
    </w:p>
    <w:p>
      <w:pPr>
        <w:ind w:firstLine="520"/>
      </w:pPr>
      <w:r>
        <w:t>（</w:t>
      </w:r>
      <w:r>
        <w:rPr>
          <w:rFonts w:hint="eastAsia"/>
        </w:rPr>
        <w:t>2</w:t>
      </w:r>
      <w:r>
        <w:t>）初期雨水收集</w:t>
      </w:r>
    </w:p>
    <w:p>
      <w:pPr>
        <w:ind w:firstLine="520"/>
      </w:pPr>
      <w:r>
        <w:t>厂区初期雨水通过雨水管网排放。</w:t>
      </w:r>
    </w:p>
    <w:p>
      <w:pPr>
        <w:ind w:firstLine="520"/>
      </w:pPr>
      <w:r>
        <w:t>（</w:t>
      </w:r>
      <w:r>
        <w:rPr>
          <w:rFonts w:hint="eastAsia"/>
        </w:rPr>
        <w:t>3</w:t>
      </w:r>
      <w:r>
        <w:t>）应急设施、物资及人员配备</w:t>
      </w:r>
    </w:p>
    <w:p>
      <w:pPr>
        <w:ind w:firstLine="520"/>
      </w:pPr>
      <w:r>
        <w:t>临沂周兴建材有限公司储备了灭火器、消防栓等应急</w:t>
      </w:r>
      <w:r>
        <w:rPr>
          <w:rFonts w:hint="eastAsia"/>
        </w:rPr>
        <w:t>设施及物资</w:t>
      </w:r>
      <w:r>
        <w:t>。</w:t>
      </w:r>
    </w:p>
    <w:p>
      <w:pPr>
        <w:widowControl/>
        <w:jc w:val="center"/>
        <w:rPr>
          <w:rFonts w:eastAsia="黑体"/>
          <w:sz w:val="22"/>
          <w:szCs w:val="28"/>
        </w:rPr>
      </w:pPr>
      <w:r>
        <w:rPr>
          <w:rFonts w:eastAsia="黑体"/>
          <w:sz w:val="22"/>
          <w:szCs w:val="28"/>
        </w:rPr>
        <w:t>表4</w:t>
      </w:r>
      <w:r>
        <w:rPr>
          <w:rFonts w:hint="eastAsia" w:eastAsia="黑体"/>
          <w:sz w:val="22"/>
          <w:szCs w:val="28"/>
        </w:rPr>
        <w:t>-5</w:t>
      </w:r>
      <w:r>
        <w:rPr>
          <w:rFonts w:eastAsia="黑体"/>
          <w:sz w:val="22"/>
          <w:szCs w:val="28"/>
        </w:rPr>
        <w:t>应急设施或物资储备情况一览表</w:t>
      </w:r>
    </w:p>
    <w:tbl>
      <w:tblPr>
        <w:tblStyle w:val="47"/>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118"/>
        <w:gridCol w:w="1559"/>
        <w:gridCol w:w="3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101" w:type="dxa"/>
            <w:vAlign w:val="center"/>
          </w:tcPr>
          <w:p>
            <w:pPr>
              <w:spacing w:line="240" w:lineRule="auto"/>
              <w:jc w:val="center"/>
              <w:rPr>
                <w:sz w:val="22"/>
              </w:rPr>
            </w:pPr>
            <w:r>
              <w:rPr>
                <w:sz w:val="22"/>
              </w:rPr>
              <w:t>序号</w:t>
            </w:r>
          </w:p>
        </w:tc>
        <w:tc>
          <w:tcPr>
            <w:tcW w:w="3118" w:type="dxa"/>
            <w:vAlign w:val="center"/>
          </w:tcPr>
          <w:p>
            <w:pPr>
              <w:spacing w:line="240" w:lineRule="auto"/>
              <w:jc w:val="center"/>
              <w:rPr>
                <w:sz w:val="22"/>
              </w:rPr>
            </w:pPr>
            <w:r>
              <w:rPr>
                <w:sz w:val="22"/>
              </w:rPr>
              <w:t>应急设施名称</w:t>
            </w:r>
          </w:p>
        </w:tc>
        <w:tc>
          <w:tcPr>
            <w:tcW w:w="1559" w:type="dxa"/>
            <w:vAlign w:val="center"/>
          </w:tcPr>
          <w:p>
            <w:pPr>
              <w:spacing w:line="240" w:lineRule="auto"/>
              <w:jc w:val="center"/>
              <w:rPr>
                <w:sz w:val="22"/>
              </w:rPr>
            </w:pPr>
            <w:r>
              <w:rPr>
                <w:sz w:val="22"/>
              </w:rPr>
              <w:t>数量</w:t>
            </w:r>
          </w:p>
        </w:tc>
        <w:tc>
          <w:tcPr>
            <w:tcW w:w="3168" w:type="dxa"/>
            <w:vAlign w:val="center"/>
          </w:tcPr>
          <w:p>
            <w:pPr>
              <w:spacing w:line="240" w:lineRule="auto"/>
              <w:jc w:val="center"/>
              <w:rPr>
                <w:sz w:val="22"/>
              </w:rPr>
            </w:pPr>
            <w:r>
              <w:rPr>
                <w:sz w:val="22"/>
              </w:rPr>
              <w:t>设施地点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101" w:type="dxa"/>
            <w:vAlign w:val="center"/>
          </w:tcPr>
          <w:p>
            <w:pPr>
              <w:spacing w:line="240" w:lineRule="auto"/>
              <w:jc w:val="center"/>
              <w:rPr>
                <w:sz w:val="22"/>
              </w:rPr>
            </w:pPr>
            <w:r>
              <w:rPr>
                <w:sz w:val="22"/>
              </w:rPr>
              <w:t>1</w:t>
            </w:r>
          </w:p>
        </w:tc>
        <w:tc>
          <w:tcPr>
            <w:tcW w:w="3118" w:type="dxa"/>
            <w:vAlign w:val="center"/>
          </w:tcPr>
          <w:p>
            <w:pPr>
              <w:spacing w:line="240" w:lineRule="auto"/>
              <w:jc w:val="center"/>
              <w:rPr>
                <w:sz w:val="22"/>
              </w:rPr>
            </w:pPr>
            <w:r>
              <w:rPr>
                <w:sz w:val="22"/>
              </w:rPr>
              <w:t>消防栓</w:t>
            </w:r>
          </w:p>
        </w:tc>
        <w:tc>
          <w:tcPr>
            <w:tcW w:w="1559" w:type="dxa"/>
            <w:vAlign w:val="center"/>
          </w:tcPr>
          <w:p>
            <w:pPr>
              <w:spacing w:line="240" w:lineRule="auto"/>
              <w:jc w:val="center"/>
              <w:rPr>
                <w:sz w:val="22"/>
              </w:rPr>
            </w:pPr>
            <w:r>
              <w:rPr>
                <w:rFonts w:hint="eastAsia"/>
                <w:sz w:val="22"/>
              </w:rPr>
              <w:t>15</w:t>
            </w:r>
            <w:r>
              <w:rPr>
                <w:sz w:val="22"/>
              </w:rPr>
              <w:t>个</w:t>
            </w:r>
          </w:p>
        </w:tc>
        <w:tc>
          <w:tcPr>
            <w:tcW w:w="3168" w:type="dxa"/>
            <w:vAlign w:val="center"/>
          </w:tcPr>
          <w:p>
            <w:pPr>
              <w:spacing w:line="240" w:lineRule="auto"/>
              <w:jc w:val="center"/>
              <w:rPr>
                <w:sz w:val="22"/>
              </w:rPr>
            </w:pPr>
            <w:r>
              <w:rPr>
                <w:rFonts w:hint="eastAsia"/>
                <w:sz w:val="22"/>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101" w:type="dxa"/>
            <w:vAlign w:val="center"/>
          </w:tcPr>
          <w:p>
            <w:pPr>
              <w:spacing w:line="240" w:lineRule="auto"/>
              <w:jc w:val="center"/>
              <w:rPr>
                <w:sz w:val="22"/>
              </w:rPr>
            </w:pPr>
            <w:r>
              <w:rPr>
                <w:sz w:val="22"/>
              </w:rPr>
              <w:t>2</w:t>
            </w:r>
          </w:p>
        </w:tc>
        <w:tc>
          <w:tcPr>
            <w:tcW w:w="3118" w:type="dxa"/>
            <w:vAlign w:val="center"/>
          </w:tcPr>
          <w:p>
            <w:pPr>
              <w:spacing w:line="240" w:lineRule="auto"/>
              <w:jc w:val="center"/>
              <w:rPr>
                <w:sz w:val="22"/>
              </w:rPr>
            </w:pPr>
            <w:r>
              <w:rPr>
                <w:rFonts w:hint="eastAsia"/>
                <w:sz w:val="22"/>
              </w:rPr>
              <w:t>消防沙池</w:t>
            </w:r>
          </w:p>
        </w:tc>
        <w:tc>
          <w:tcPr>
            <w:tcW w:w="1559" w:type="dxa"/>
            <w:vAlign w:val="center"/>
          </w:tcPr>
          <w:p>
            <w:pPr>
              <w:spacing w:line="240" w:lineRule="auto"/>
              <w:jc w:val="center"/>
              <w:rPr>
                <w:sz w:val="22"/>
              </w:rPr>
            </w:pPr>
            <w:r>
              <w:rPr>
                <w:rFonts w:hint="eastAsia"/>
                <w:sz w:val="22"/>
              </w:rPr>
              <w:t>4</w:t>
            </w:r>
            <w:r>
              <w:rPr>
                <w:sz w:val="22"/>
              </w:rPr>
              <w:t>个</w:t>
            </w:r>
          </w:p>
        </w:tc>
        <w:tc>
          <w:tcPr>
            <w:tcW w:w="3168" w:type="dxa"/>
            <w:vAlign w:val="center"/>
          </w:tcPr>
          <w:p>
            <w:pPr>
              <w:spacing w:line="240" w:lineRule="auto"/>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101" w:type="dxa"/>
            <w:vAlign w:val="center"/>
          </w:tcPr>
          <w:p>
            <w:pPr>
              <w:spacing w:line="240" w:lineRule="auto"/>
              <w:jc w:val="center"/>
              <w:rPr>
                <w:sz w:val="22"/>
              </w:rPr>
            </w:pPr>
            <w:r>
              <w:rPr>
                <w:sz w:val="22"/>
              </w:rPr>
              <w:t>3</w:t>
            </w:r>
          </w:p>
        </w:tc>
        <w:tc>
          <w:tcPr>
            <w:tcW w:w="3118" w:type="dxa"/>
            <w:vAlign w:val="center"/>
          </w:tcPr>
          <w:p>
            <w:pPr>
              <w:spacing w:line="240" w:lineRule="auto"/>
              <w:jc w:val="center"/>
              <w:rPr>
                <w:sz w:val="22"/>
              </w:rPr>
            </w:pPr>
            <w:r>
              <w:rPr>
                <w:sz w:val="22"/>
              </w:rPr>
              <w:t>干粉灭火器</w:t>
            </w:r>
          </w:p>
        </w:tc>
        <w:tc>
          <w:tcPr>
            <w:tcW w:w="1559" w:type="dxa"/>
            <w:vAlign w:val="center"/>
          </w:tcPr>
          <w:p>
            <w:pPr>
              <w:spacing w:line="240" w:lineRule="auto"/>
              <w:jc w:val="center"/>
              <w:rPr>
                <w:sz w:val="22"/>
              </w:rPr>
            </w:pPr>
            <w:r>
              <w:rPr>
                <w:rFonts w:hint="eastAsia"/>
                <w:sz w:val="22"/>
              </w:rPr>
              <w:t>42</w:t>
            </w:r>
            <w:r>
              <w:rPr>
                <w:sz w:val="22"/>
              </w:rPr>
              <w:t>个</w:t>
            </w:r>
          </w:p>
        </w:tc>
        <w:tc>
          <w:tcPr>
            <w:tcW w:w="3168" w:type="dxa"/>
            <w:vAlign w:val="center"/>
          </w:tcPr>
          <w:p>
            <w:pPr>
              <w:spacing w:line="240" w:lineRule="auto"/>
              <w:jc w:val="center"/>
              <w:rPr>
                <w:sz w:val="22"/>
              </w:rPr>
            </w:pPr>
            <w:r>
              <w:rPr>
                <w:rFonts w:hint="eastAsia"/>
                <w:sz w:val="22"/>
              </w:rPr>
              <w:t>生产车间37个，配件仓库4个，危废库1个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101" w:type="dxa"/>
            <w:vAlign w:val="center"/>
          </w:tcPr>
          <w:p>
            <w:pPr>
              <w:spacing w:line="240" w:lineRule="auto"/>
              <w:jc w:val="center"/>
              <w:rPr>
                <w:sz w:val="22"/>
              </w:rPr>
            </w:pPr>
            <w:r>
              <w:rPr>
                <w:sz w:val="22"/>
              </w:rPr>
              <w:t>4</w:t>
            </w:r>
          </w:p>
        </w:tc>
        <w:tc>
          <w:tcPr>
            <w:tcW w:w="3118" w:type="dxa"/>
            <w:vAlign w:val="center"/>
          </w:tcPr>
          <w:p>
            <w:pPr>
              <w:spacing w:line="240" w:lineRule="auto"/>
              <w:jc w:val="center"/>
              <w:rPr>
                <w:sz w:val="22"/>
              </w:rPr>
            </w:pPr>
            <w:r>
              <w:rPr>
                <w:sz w:val="22"/>
              </w:rPr>
              <w:t>推车式干粉灭火器</w:t>
            </w:r>
          </w:p>
        </w:tc>
        <w:tc>
          <w:tcPr>
            <w:tcW w:w="1559" w:type="dxa"/>
            <w:vAlign w:val="center"/>
          </w:tcPr>
          <w:p>
            <w:pPr>
              <w:spacing w:line="240" w:lineRule="auto"/>
              <w:jc w:val="center"/>
              <w:rPr>
                <w:sz w:val="22"/>
              </w:rPr>
            </w:pPr>
            <w:r>
              <w:rPr>
                <w:rFonts w:hint="eastAsia"/>
                <w:sz w:val="22"/>
              </w:rPr>
              <w:t>7</w:t>
            </w:r>
            <w:r>
              <w:rPr>
                <w:sz w:val="22"/>
              </w:rPr>
              <w:t>个</w:t>
            </w:r>
          </w:p>
        </w:tc>
        <w:tc>
          <w:tcPr>
            <w:tcW w:w="3168" w:type="dxa"/>
            <w:vAlign w:val="center"/>
          </w:tcPr>
          <w:p>
            <w:pPr>
              <w:spacing w:line="240" w:lineRule="auto"/>
              <w:jc w:val="center"/>
              <w:rPr>
                <w:sz w:val="22"/>
              </w:rPr>
            </w:pPr>
            <w:r>
              <w:rPr>
                <w:rFonts w:hint="eastAsia"/>
                <w:sz w:val="22"/>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101" w:type="dxa"/>
            <w:vAlign w:val="center"/>
          </w:tcPr>
          <w:p>
            <w:pPr>
              <w:spacing w:line="240" w:lineRule="auto"/>
              <w:jc w:val="center"/>
              <w:rPr>
                <w:sz w:val="22"/>
              </w:rPr>
            </w:pPr>
          </w:p>
        </w:tc>
        <w:tc>
          <w:tcPr>
            <w:tcW w:w="3118" w:type="dxa"/>
            <w:vAlign w:val="center"/>
          </w:tcPr>
          <w:p>
            <w:pPr>
              <w:spacing w:line="240" w:lineRule="auto"/>
              <w:jc w:val="center"/>
              <w:rPr>
                <w:sz w:val="22"/>
              </w:rPr>
            </w:pPr>
            <w:r>
              <w:rPr>
                <w:rFonts w:hint="eastAsia"/>
                <w:sz w:val="22"/>
              </w:rPr>
              <w:t>消防铁锹</w:t>
            </w:r>
          </w:p>
        </w:tc>
        <w:tc>
          <w:tcPr>
            <w:tcW w:w="1559" w:type="dxa"/>
            <w:vAlign w:val="center"/>
          </w:tcPr>
          <w:p>
            <w:pPr>
              <w:spacing w:line="240" w:lineRule="auto"/>
              <w:jc w:val="center"/>
              <w:rPr>
                <w:sz w:val="22"/>
              </w:rPr>
            </w:pPr>
            <w:r>
              <w:rPr>
                <w:rFonts w:hint="eastAsia"/>
                <w:sz w:val="22"/>
              </w:rPr>
              <w:t>20</w:t>
            </w:r>
          </w:p>
        </w:tc>
        <w:tc>
          <w:tcPr>
            <w:tcW w:w="3168" w:type="dxa"/>
            <w:vAlign w:val="center"/>
          </w:tcPr>
          <w:p>
            <w:pPr>
              <w:spacing w:line="240" w:lineRule="auto"/>
              <w:jc w:val="center"/>
              <w:rPr>
                <w:sz w:val="22"/>
              </w:rPr>
            </w:pPr>
            <w:r>
              <w:rPr>
                <w:rFonts w:hint="eastAsia"/>
                <w:sz w:val="22"/>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101" w:type="dxa"/>
            <w:vAlign w:val="center"/>
          </w:tcPr>
          <w:p>
            <w:pPr>
              <w:spacing w:line="240" w:lineRule="auto"/>
              <w:jc w:val="center"/>
              <w:rPr>
                <w:sz w:val="22"/>
              </w:rPr>
            </w:pPr>
          </w:p>
        </w:tc>
        <w:tc>
          <w:tcPr>
            <w:tcW w:w="3118" w:type="dxa"/>
            <w:vAlign w:val="center"/>
          </w:tcPr>
          <w:p>
            <w:pPr>
              <w:spacing w:line="240" w:lineRule="auto"/>
              <w:jc w:val="center"/>
              <w:rPr>
                <w:sz w:val="22"/>
              </w:rPr>
            </w:pPr>
            <w:r>
              <w:rPr>
                <w:rFonts w:hint="eastAsia"/>
                <w:sz w:val="22"/>
              </w:rPr>
              <w:t>消防沙桶</w:t>
            </w:r>
          </w:p>
        </w:tc>
        <w:tc>
          <w:tcPr>
            <w:tcW w:w="1559" w:type="dxa"/>
            <w:vAlign w:val="center"/>
          </w:tcPr>
          <w:p>
            <w:pPr>
              <w:spacing w:line="240" w:lineRule="auto"/>
              <w:jc w:val="center"/>
              <w:rPr>
                <w:sz w:val="22"/>
              </w:rPr>
            </w:pPr>
            <w:r>
              <w:rPr>
                <w:rFonts w:hint="eastAsia"/>
                <w:sz w:val="22"/>
              </w:rPr>
              <w:t>20</w:t>
            </w:r>
          </w:p>
        </w:tc>
        <w:tc>
          <w:tcPr>
            <w:tcW w:w="3168" w:type="dxa"/>
            <w:vAlign w:val="center"/>
          </w:tcPr>
          <w:p>
            <w:pPr>
              <w:spacing w:line="240" w:lineRule="auto"/>
              <w:jc w:val="center"/>
              <w:rPr>
                <w:sz w:val="22"/>
              </w:rPr>
            </w:pPr>
            <w:r>
              <w:rPr>
                <w:rFonts w:hint="eastAsia"/>
                <w:sz w:val="22"/>
              </w:rPr>
              <w:t>生产车间</w:t>
            </w:r>
          </w:p>
        </w:tc>
      </w:tr>
    </w:tbl>
    <w:p>
      <w:pPr>
        <w:ind w:firstLine="520"/>
      </w:pPr>
    </w:p>
    <w:tbl>
      <w:tblPr>
        <w:tblStyle w:val="48"/>
        <w:tblW w:w="8505" w:type="dxa"/>
        <w:tblInd w:w="25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100"/>
        <w:gridCol w:w="4405"/>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385" w:hRule="atLeast"/>
        </w:trPr>
        <w:tc>
          <w:tcPr>
            <w:tcW w:w="4100" w:type="dxa"/>
          </w:tcPr>
          <w:p>
            <w:pPr>
              <w:jc w:val="center"/>
            </w:pPr>
            <w:r>
              <w:drawing>
                <wp:inline distT="0" distB="0" distL="0" distR="0">
                  <wp:extent cx="2057400" cy="2743835"/>
                  <wp:effectExtent l="19050" t="0" r="0" b="0"/>
                  <wp:docPr id="25" name="图片 25" descr="d:\Documents\Tencent Files\474150110\FileRecv\MobileFile\P71206-11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Documents\Tencent Files\474150110\FileRecv\MobileFile\P71206-111727.jpg"/>
                          <pic:cNvPicPr>
                            <a:picLocks noChangeAspect="1" noChangeArrowheads="1"/>
                          </pic:cNvPicPr>
                        </pic:nvPicPr>
                        <pic:blipFill>
                          <a:blip r:embed="rId54" cstate="print"/>
                          <a:srcRect/>
                          <a:stretch>
                            <a:fillRect/>
                          </a:stretch>
                        </pic:blipFill>
                        <pic:spPr>
                          <a:xfrm>
                            <a:off x="0" y="0"/>
                            <a:ext cx="2060762" cy="2748343"/>
                          </a:xfrm>
                          <a:prstGeom prst="rect">
                            <a:avLst/>
                          </a:prstGeom>
                          <a:noFill/>
                          <a:ln w="9525">
                            <a:noFill/>
                            <a:miter lim="800000"/>
                            <a:headEnd/>
                            <a:tailEnd/>
                          </a:ln>
                        </pic:spPr>
                      </pic:pic>
                    </a:graphicData>
                  </a:graphic>
                </wp:inline>
              </w:drawing>
            </w:r>
          </w:p>
          <w:p>
            <w:pPr>
              <w:spacing w:line="240" w:lineRule="auto"/>
              <w:jc w:val="center"/>
              <w:rPr>
                <w:sz w:val="22"/>
              </w:rPr>
            </w:pPr>
            <w:r>
              <w:rPr>
                <w:rFonts w:hint="eastAsia"/>
                <w:sz w:val="22"/>
              </w:rPr>
              <w:t>生产车间消防设施</w:t>
            </w:r>
          </w:p>
        </w:tc>
        <w:tc>
          <w:tcPr>
            <w:tcW w:w="4405" w:type="dxa"/>
          </w:tcPr>
          <w:p>
            <w:pPr>
              <w:jc w:val="center"/>
            </w:pPr>
            <w:r>
              <w:drawing>
                <wp:inline distT="0" distB="0" distL="0" distR="0">
                  <wp:extent cx="2057400" cy="2742565"/>
                  <wp:effectExtent l="19050" t="0" r="0" b="0"/>
                  <wp:docPr id="26" name="图片 26" descr="C:\Users\ADMINI~1\AppData\Local\Temp\WeChat Files\60684017887977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WeChat Files\606840178879770818.jpg"/>
                          <pic:cNvPicPr>
                            <a:picLocks noChangeAspect="1" noChangeArrowheads="1"/>
                          </pic:cNvPicPr>
                        </pic:nvPicPr>
                        <pic:blipFill>
                          <a:blip r:embed="rId55" cstate="print"/>
                          <a:srcRect/>
                          <a:stretch>
                            <a:fillRect/>
                          </a:stretch>
                        </pic:blipFill>
                        <pic:spPr>
                          <a:xfrm>
                            <a:off x="0" y="0"/>
                            <a:ext cx="2066220" cy="2754958"/>
                          </a:xfrm>
                          <a:prstGeom prst="rect">
                            <a:avLst/>
                          </a:prstGeom>
                          <a:noFill/>
                          <a:ln w="9525">
                            <a:noFill/>
                            <a:miter lim="800000"/>
                            <a:headEnd/>
                            <a:tailEnd/>
                          </a:ln>
                        </pic:spPr>
                      </pic:pic>
                    </a:graphicData>
                  </a:graphic>
                </wp:inline>
              </w:drawing>
            </w:r>
          </w:p>
          <w:p>
            <w:pPr>
              <w:spacing w:line="240" w:lineRule="auto"/>
              <w:jc w:val="center"/>
            </w:pPr>
            <w:r>
              <w:rPr>
                <w:rFonts w:hint="eastAsia"/>
                <w:sz w:val="22"/>
              </w:rPr>
              <w:t>危废库灭火器</w:t>
            </w:r>
          </w:p>
        </w:tc>
      </w:tr>
    </w:tbl>
    <w:p>
      <w:pPr>
        <w:pStyle w:val="4"/>
        <w:spacing w:before="70"/>
        <w:rPr>
          <w:color w:val="3E3E3E"/>
        </w:rPr>
      </w:pPr>
      <w:bookmarkStart w:id="59" w:name="_Toc499059471"/>
      <w:bookmarkStart w:id="60" w:name="_Toc499060208"/>
      <w:r>
        <w:t>4.2.</w:t>
      </w:r>
      <w:r>
        <w:rPr>
          <w:rFonts w:hint="eastAsia"/>
        </w:rPr>
        <w:t>2</w:t>
      </w:r>
      <w:r>
        <w:t>其他设施</w:t>
      </w:r>
      <w:bookmarkEnd w:id="59"/>
      <w:bookmarkEnd w:id="60"/>
    </w:p>
    <w:p>
      <w:pPr>
        <w:ind w:firstLine="520"/>
      </w:pPr>
      <w:r>
        <w:t>临沂周兴建材有限公司建设过程中认真落实了境影响评价报告及审批部门审批决定中的要求，厂区</w:t>
      </w:r>
      <w:r>
        <w:rPr>
          <w:rFonts w:hint="eastAsia"/>
        </w:rPr>
        <w:t>进行了部分</w:t>
      </w:r>
      <w:r>
        <w:t>绿化。</w:t>
      </w:r>
    </w:p>
    <w:p>
      <w:pPr>
        <w:pStyle w:val="3"/>
        <w:spacing w:before="70" w:after="70"/>
        <w:rPr>
          <w:color w:val="3E3E3E"/>
        </w:rPr>
      </w:pPr>
      <w:bookmarkStart w:id="61" w:name="_Toc502699365"/>
      <w:bookmarkStart w:id="62" w:name="_Toc499060209"/>
      <w:bookmarkStart w:id="63" w:name="_Toc499059472"/>
      <w:r>
        <w:t>4.3环保设施投资及“三同时”落实情况</w:t>
      </w:r>
      <w:bookmarkEnd w:id="61"/>
      <w:bookmarkEnd w:id="62"/>
      <w:bookmarkEnd w:id="63"/>
    </w:p>
    <w:p>
      <w:pPr>
        <w:ind w:firstLine="520"/>
      </w:pPr>
      <w:r>
        <w:t>该项目根据《建设项目环境保护管理办法》和《环境影响评价法》的要求进行了环境影响评价。工程环保设施的建设实现了与主体工程同时设计、同时施工、同时投产使用的</w:t>
      </w:r>
      <w:r>
        <w:rPr>
          <w:rFonts w:hint="eastAsia"/>
        </w:rPr>
        <w:t>“</w:t>
      </w:r>
      <w:r>
        <w:t>三同时</w:t>
      </w:r>
      <w:r>
        <w:rPr>
          <w:rFonts w:hint="eastAsia"/>
        </w:rPr>
        <w:t>”</w:t>
      </w:r>
      <w:r>
        <w:t>要求，目前环保设施运行状况良好。</w:t>
      </w:r>
    </w:p>
    <w:p>
      <w:pPr>
        <w:ind w:firstLine="520"/>
      </w:pPr>
      <w:r>
        <w:t>临沂周兴建材有限公司总投资150万元，环保投资为19万元，环保投资占总投资额的</w:t>
      </w:r>
      <w:r>
        <w:rPr>
          <w:rFonts w:hint="eastAsia"/>
        </w:rPr>
        <w:t>12.67</w:t>
      </w:r>
      <w:r>
        <w:t>%。</w:t>
      </w:r>
      <w:r>
        <w:rPr>
          <w:rFonts w:hint="eastAsia"/>
        </w:rPr>
        <w:t>该项目</w:t>
      </w:r>
      <w:r>
        <w:t>环保投资具体情况见表4.3-1。</w:t>
      </w:r>
    </w:p>
    <w:p>
      <w:pPr>
        <w:ind w:firstLine="520"/>
        <w:jc w:val="center"/>
        <w:rPr>
          <w:sz w:val="22"/>
        </w:rPr>
      </w:pPr>
      <w:r>
        <w:rPr>
          <w:sz w:val="22"/>
        </w:rPr>
        <w:t>表4.3-1环保投资具体情况</w:t>
      </w:r>
    </w:p>
    <w:tbl>
      <w:tblPr>
        <w:tblStyle w:val="47"/>
        <w:tblW w:w="89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144"/>
        <w:gridCol w:w="1441"/>
        <w:gridCol w:w="2816"/>
        <w:gridCol w:w="1423"/>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95" w:type="dxa"/>
            <w:shd w:val="clear" w:color="auto" w:fill="auto"/>
            <w:vAlign w:val="center"/>
          </w:tcPr>
          <w:p>
            <w:pPr>
              <w:spacing w:line="240" w:lineRule="atLeast"/>
              <w:jc w:val="center"/>
              <w:rPr>
                <w:rFonts w:eastAsia="宋体"/>
                <w:b/>
                <w:sz w:val="22"/>
              </w:rPr>
            </w:pPr>
            <w:r>
              <w:rPr>
                <w:rFonts w:hint="eastAsia" w:eastAsia="宋体"/>
                <w:b/>
                <w:sz w:val="22"/>
              </w:rPr>
              <w:t>序号</w:t>
            </w:r>
          </w:p>
        </w:tc>
        <w:tc>
          <w:tcPr>
            <w:tcW w:w="1144" w:type="dxa"/>
            <w:shd w:val="clear" w:color="auto" w:fill="auto"/>
            <w:vAlign w:val="center"/>
          </w:tcPr>
          <w:p>
            <w:pPr>
              <w:spacing w:line="240" w:lineRule="atLeast"/>
              <w:jc w:val="center"/>
              <w:rPr>
                <w:rFonts w:eastAsia="宋体"/>
                <w:b/>
                <w:sz w:val="22"/>
              </w:rPr>
            </w:pPr>
            <w:r>
              <w:rPr>
                <w:rFonts w:hint="eastAsia" w:eastAsia="宋体"/>
                <w:b/>
                <w:sz w:val="22"/>
              </w:rPr>
              <w:t>治理项目</w:t>
            </w:r>
          </w:p>
        </w:tc>
        <w:tc>
          <w:tcPr>
            <w:tcW w:w="4257" w:type="dxa"/>
            <w:gridSpan w:val="2"/>
            <w:shd w:val="clear" w:color="auto" w:fill="auto"/>
            <w:vAlign w:val="center"/>
          </w:tcPr>
          <w:p>
            <w:pPr>
              <w:spacing w:line="240" w:lineRule="atLeast"/>
              <w:jc w:val="center"/>
              <w:rPr>
                <w:rFonts w:eastAsia="宋体"/>
                <w:b/>
                <w:sz w:val="22"/>
              </w:rPr>
            </w:pPr>
            <w:r>
              <w:rPr>
                <w:rFonts w:hint="eastAsia" w:eastAsia="宋体"/>
                <w:b/>
                <w:sz w:val="22"/>
              </w:rPr>
              <w:t>治理方案</w:t>
            </w:r>
          </w:p>
        </w:tc>
        <w:tc>
          <w:tcPr>
            <w:tcW w:w="1423" w:type="dxa"/>
            <w:shd w:val="clear" w:color="auto" w:fill="auto"/>
            <w:vAlign w:val="center"/>
          </w:tcPr>
          <w:p>
            <w:pPr>
              <w:spacing w:line="240" w:lineRule="atLeast"/>
              <w:jc w:val="center"/>
              <w:rPr>
                <w:rFonts w:eastAsia="宋体"/>
                <w:b/>
                <w:sz w:val="22"/>
              </w:rPr>
            </w:pPr>
            <w:r>
              <w:rPr>
                <w:rFonts w:hint="eastAsia"/>
                <w:b/>
                <w:sz w:val="22"/>
              </w:rPr>
              <w:t>环评设计</w:t>
            </w:r>
            <w:r>
              <w:rPr>
                <w:rFonts w:hint="eastAsia" w:eastAsia="宋体"/>
                <w:b/>
                <w:sz w:val="22"/>
              </w:rPr>
              <w:t>投资（万元）</w:t>
            </w:r>
          </w:p>
        </w:tc>
        <w:tc>
          <w:tcPr>
            <w:tcW w:w="1477" w:type="dxa"/>
            <w:shd w:val="clear" w:color="auto" w:fill="auto"/>
            <w:vAlign w:val="center"/>
          </w:tcPr>
          <w:p>
            <w:pPr>
              <w:spacing w:line="240" w:lineRule="atLeast"/>
              <w:jc w:val="center"/>
              <w:rPr>
                <w:b/>
                <w:sz w:val="22"/>
              </w:rPr>
            </w:pPr>
            <w:r>
              <w:rPr>
                <w:rFonts w:hint="eastAsia"/>
                <w:b/>
                <w:sz w:val="22"/>
              </w:rPr>
              <w:t>实际环保</w:t>
            </w:r>
            <w:r>
              <w:rPr>
                <w:rFonts w:hint="eastAsia" w:eastAsia="宋体"/>
                <w:b/>
                <w:sz w:val="22"/>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95" w:type="dxa"/>
            <w:vAlign w:val="center"/>
          </w:tcPr>
          <w:p>
            <w:pPr>
              <w:spacing w:line="240" w:lineRule="atLeast"/>
              <w:jc w:val="center"/>
              <w:rPr>
                <w:rFonts w:eastAsia="宋体"/>
                <w:sz w:val="22"/>
              </w:rPr>
            </w:pPr>
            <w:r>
              <w:rPr>
                <w:rFonts w:hint="eastAsia" w:eastAsia="宋体"/>
                <w:sz w:val="22"/>
              </w:rPr>
              <w:t>1</w:t>
            </w:r>
          </w:p>
        </w:tc>
        <w:tc>
          <w:tcPr>
            <w:tcW w:w="1144" w:type="dxa"/>
            <w:vAlign w:val="center"/>
          </w:tcPr>
          <w:p>
            <w:pPr>
              <w:spacing w:line="240" w:lineRule="atLeast"/>
              <w:jc w:val="center"/>
              <w:rPr>
                <w:rFonts w:eastAsia="宋体"/>
                <w:sz w:val="22"/>
              </w:rPr>
            </w:pPr>
            <w:r>
              <w:rPr>
                <w:rFonts w:hint="eastAsia" w:eastAsia="宋体"/>
                <w:sz w:val="22"/>
              </w:rPr>
              <w:t>废水</w:t>
            </w:r>
          </w:p>
        </w:tc>
        <w:tc>
          <w:tcPr>
            <w:tcW w:w="1441" w:type="dxa"/>
            <w:vAlign w:val="center"/>
          </w:tcPr>
          <w:p>
            <w:pPr>
              <w:spacing w:line="240" w:lineRule="atLeast"/>
              <w:jc w:val="center"/>
              <w:rPr>
                <w:rFonts w:eastAsia="宋体"/>
                <w:sz w:val="22"/>
              </w:rPr>
            </w:pPr>
            <w:r>
              <w:rPr>
                <w:rFonts w:hint="eastAsia" w:eastAsia="宋体"/>
                <w:sz w:val="22"/>
              </w:rPr>
              <w:t>生活污水</w:t>
            </w:r>
          </w:p>
        </w:tc>
        <w:tc>
          <w:tcPr>
            <w:tcW w:w="2816" w:type="dxa"/>
            <w:vAlign w:val="center"/>
          </w:tcPr>
          <w:p>
            <w:pPr>
              <w:spacing w:line="240" w:lineRule="atLeast"/>
              <w:jc w:val="center"/>
              <w:rPr>
                <w:rFonts w:eastAsia="宋体"/>
                <w:sz w:val="22"/>
              </w:rPr>
            </w:pPr>
            <w:r>
              <w:rPr>
                <w:rFonts w:hint="eastAsia" w:eastAsia="宋体"/>
                <w:sz w:val="22"/>
              </w:rPr>
              <w:t>经化粪池处理后外运堆肥</w:t>
            </w:r>
          </w:p>
        </w:tc>
        <w:tc>
          <w:tcPr>
            <w:tcW w:w="1423" w:type="dxa"/>
            <w:vAlign w:val="center"/>
          </w:tcPr>
          <w:p>
            <w:pPr>
              <w:spacing w:line="240" w:lineRule="atLeast"/>
              <w:jc w:val="center"/>
              <w:rPr>
                <w:rFonts w:eastAsia="宋体"/>
                <w:sz w:val="22"/>
              </w:rPr>
            </w:pPr>
            <w:r>
              <w:rPr>
                <w:rFonts w:hint="eastAsia" w:eastAsia="宋体"/>
                <w:sz w:val="22"/>
              </w:rPr>
              <w:t>2</w:t>
            </w:r>
          </w:p>
        </w:tc>
        <w:tc>
          <w:tcPr>
            <w:tcW w:w="1477" w:type="dxa"/>
            <w:vAlign w:val="center"/>
          </w:tcPr>
          <w:p>
            <w:pPr>
              <w:spacing w:line="240" w:lineRule="atLeast"/>
              <w:jc w:val="center"/>
              <w:rPr>
                <w:sz w:val="22"/>
              </w:rPr>
            </w:pPr>
            <w:r>
              <w:rPr>
                <w:rFonts w:hint="eastAsia"/>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95" w:type="dxa"/>
            <w:vMerge w:val="restart"/>
            <w:vAlign w:val="center"/>
          </w:tcPr>
          <w:p>
            <w:pPr>
              <w:spacing w:line="240" w:lineRule="atLeast"/>
              <w:jc w:val="center"/>
              <w:rPr>
                <w:rFonts w:eastAsia="宋体"/>
                <w:sz w:val="22"/>
              </w:rPr>
            </w:pPr>
            <w:r>
              <w:rPr>
                <w:rFonts w:hint="eastAsia" w:eastAsia="宋体"/>
                <w:sz w:val="22"/>
              </w:rPr>
              <w:t>2</w:t>
            </w:r>
          </w:p>
        </w:tc>
        <w:tc>
          <w:tcPr>
            <w:tcW w:w="1144" w:type="dxa"/>
            <w:vMerge w:val="restart"/>
            <w:vAlign w:val="center"/>
          </w:tcPr>
          <w:p>
            <w:pPr>
              <w:spacing w:line="240" w:lineRule="atLeast"/>
              <w:jc w:val="center"/>
              <w:rPr>
                <w:rFonts w:eastAsia="宋体"/>
                <w:sz w:val="22"/>
              </w:rPr>
            </w:pPr>
            <w:r>
              <w:rPr>
                <w:rFonts w:hint="eastAsia" w:eastAsia="宋体"/>
                <w:sz w:val="22"/>
              </w:rPr>
              <w:t>废气</w:t>
            </w:r>
          </w:p>
        </w:tc>
        <w:tc>
          <w:tcPr>
            <w:tcW w:w="1441" w:type="dxa"/>
            <w:vAlign w:val="center"/>
          </w:tcPr>
          <w:p>
            <w:pPr>
              <w:spacing w:line="240" w:lineRule="atLeast"/>
              <w:jc w:val="center"/>
              <w:rPr>
                <w:rFonts w:eastAsia="宋体"/>
                <w:sz w:val="22"/>
              </w:rPr>
            </w:pPr>
            <w:r>
              <w:rPr>
                <w:rFonts w:hint="eastAsia" w:eastAsia="宋体"/>
                <w:sz w:val="22"/>
              </w:rPr>
              <w:t>非甲烷总烃</w:t>
            </w:r>
          </w:p>
        </w:tc>
        <w:tc>
          <w:tcPr>
            <w:tcW w:w="2816" w:type="dxa"/>
            <w:vAlign w:val="center"/>
          </w:tcPr>
          <w:p>
            <w:pPr>
              <w:spacing w:line="240" w:lineRule="atLeast"/>
              <w:jc w:val="center"/>
              <w:rPr>
                <w:rFonts w:eastAsia="宋体"/>
                <w:sz w:val="22"/>
              </w:rPr>
            </w:pPr>
            <w:r>
              <w:rPr>
                <w:rFonts w:hint="eastAsia" w:eastAsia="宋体"/>
                <w:sz w:val="22"/>
              </w:rPr>
              <w:t>集气罩+光氧催化+15m排气筒</w:t>
            </w:r>
          </w:p>
        </w:tc>
        <w:tc>
          <w:tcPr>
            <w:tcW w:w="1423" w:type="dxa"/>
            <w:vAlign w:val="center"/>
          </w:tcPr>
          <w:p>
            <w:pPr>
              <w:spacing w:line="240" w:lineRule="atLeast"/>
              <w:jc w:val="center"/>
              <w:rPr>
                <w:rFonts w:eastAsia="宋体"/>
                <w:sz w:val="22"/>
              </w:rPr>
            </w:pPr>
            <w:r>
              <w:rPr>
                <w:rFonts w:hint="eastAsia" w:eastAsia="宋体"/>
                <w:sz w:val="22"/>
              </w:rPr>
              <w:t>5</w:t>
            </w:r>
          </w:p>
        </w:tc>
        <w:tc>
          <w:tcPr>
            <w:tcW w:w="1477" w:type="dxa"/>
            <w:vAlign w:val="center"/>
          </w:tcPr>
          <w:p>
            <w:pPr>
              <w:spacing w:line="240" w:lineRule="atLeast"/>
              <w:jc w:val="center"/>
              <w:rPr>
                <w:sz w:val="22"/>
              </w:rPr>
            </w:pPr>
            <w:r>
              <w:rPr>
                <w:rFonts w:hint="eastAsia"/>
                <w:sz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95" w:type="dxa"/>
            <w:vMerge w:val="continue"/>
            <w:vAlign w:val="center"/>
          </w:tcPr>
          <w:p>
            <w:pPr>
              <w:spacing w:line="240" w:lineRule="atLeast"/>
              <w:jc w:val="center"/>
              <w:rPr>
                <w:rFonts w:eastAsia="宋体"/>
                <w:sz w:val="22"/>
              </w:rPr>
            </w:pPr>
          </w:p>
        </w:tc>
        <w:tc>
          <w:tcPr>
            <w:tcW w:w="1144" w:type="dxa"/>
            <w:vMerge w:val="continue"/>
            <w:vAlign w:val="center"/>
          </w:tcPr>
          <w:p>
            <w:pPr>
              <w:spacing w:line="240" w:lineRule="atLeast"/>
              <w:jc w:val="center"/>
              <w:rPr>
                <w:rFonts w:eastAsia="宋体"/>
                <w:sz w:val="22"/>
              </w:rPr>
            </w:pPr>
          </w:p>
        </w:tc>
        <w:tc>
          <w:tcPr>
            <w:tcW w:w="1441" w:type="dxa"/>
            <w:vAlign w:val="center"/>
          </w:tcPr>
          <w:p>
            <w:pPr>
              <w:spacing w:line="240" w:lineRule="atLeast"/>
              <w:jc w:val="center"/>
              <w:rPr>
                <w:rFonts w:eastAsia="宋体"/>
                <w:sz w:val="22"/>
              </w:rPr>
            </w:pPr>
            <w:r>
              <w:rPr>
                <w:rFonts w:hint="eastAsia" w:eastAsia="宋体"/>
                <w:sz w:val="22"/>
              </w:rPr>
              <w:t>石膏板切割粉尘</w:t>
            </w:r>
          </w:p>
        </w:tc>
        <w:tc>
          <w:tcPr>
            <w:tcW w:w="2816" w:type="dxa"/>
            <w:vAlign w:val="center"/>
          </w:tcPr>
          <w:p>
            <w:pPr>
              <w:spacing w:line="240" w:lineRule="atLeast"/>
              <w:jc w:val="center"/>
              <w:rPr>
                <w:rFonts w:eastAsia="宋体"/>
                <w:sz w:val="22"/>
              </w:rPr>
            </w:pPr>
            <w:r>
              <w:rPr>
                <w:rFonts w:hint="eastAsia" w:eastAsia="宋体"/>
                <w:sz w:val="22"/>
              </w:rPr>
              <w:t>集气罩+布袋除尘器+15m高排气筒</w:t>
            </w:r>
          </w:p>
        </w:tc>
        <w:tc>
          <w:tcPr>
            <w:tcW w:w="1423" w:type="dxa"/>
            <w:vAlign w:val="center"/>
          </w:tcPr>
          <w:p>
            <w:pPr>
              <w:spacing w:line="240" w:lineRule="atLeast"/>
              <w:jc w:val="center"/>
              <w:rPr>
                <w:rFonts w:eastAsia="宋体"/>
                <w:sz w:val="22"/>
              </w:rPr>
            </w:pPr>
            <w:r>
              <w:rPr>
                <w:rFonts w:hint="eastAsia" w:eastAsia="宋体"/>
                <w:sz w:val="22"/>
              </w:rPr>
              <w:t>5</w:t>
            </w:r>
          </w:p>
        </w:tc>
        <w:tc>
          <w:tcPr>
            <w:tcW w:w="1477" w:type="dxa"/>
            <w:vAlign w:val="center"/>
          </w:tcPr>
          <w:p>
            <w:pPr>
              <w:spacing w:line="240" w:lineRule="atLeast"/>
              <w:jc w:val="center"/>
              <w:rPr>
                <w:sz w:val="22"/>
              </w:rPr>
            </w:pPr>
            <w:r>
              <w:rPr>
                <w:rFonts w:hint="eastAsia"/>
                <w:sz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95" w:type="dxa"/>
            <w:vMerge w:val="continue"/>
            <w:vAlign w:val="center"/>
          </w:tcPr>
          <w:p>
            <w:pPr>
              <w:spacing w:line="240" w:lineRule="atLeast"/>
              <w:jc w:val="center"/>
              <w:rPr>
                <w:rFonts w:eastAsia="宋体"/>
                <w:sz w:val="22"/>
              </w:rPr>
            </w:pPr>
          </w:p>
        </w:tc>
        <w:tc>
          <w:tcPr>
            <w:tcW w:w="1144" w:type="dxa"/>
            <w:vMerge w:val="continue"/>
            <w:vAlign w:val="center"/>
          </w:tcPr>
          <w:p>
            <w:pPr>
              <w:spacing w:line="240" w:lineRule="atLeast"/>
              <w:jc w:val="center"/>
              <w:rPr>
                <w:rFonts w:eastAsia="宋体"/>
                <w:sz w:val="22"/>
              </w:rPr>
            </w:pPr>
          </w:p>
        </w:tc>
        <w:tc>
          <w:tcPr>
            <w:tcW w:w="1441" w:type="dxa"/>
            <w:vAlign w:val="center"/>
          </w:tcPr>
          <w:p>
            <w:pPr>
              <w:spacing w:line="240" w:lineRule="atLeast"/>
              <w:jc w:val="center"/>
              <w:rPr>
                <w:rFonts w:eastAsia="宋体"/>
                <w:sz w:val="22"/>
              </w:rPr>
            </w:pPr>
            <w:r>
              <w:rPr>
                <w:rFonts w:hint="eastAsia" w:eastAsia="宋体"/>
                <w:sz w:val="22"/>
              </w:rPr>
              <w:t>无组织废气</w:t>
            </w:r>
          </w:p>
        </w:tc>
        <w:tc>
          <w:tcPr>
            <w:tcW w:w="2816" w:type="dxa"/>
            <w:vAlign w:val="center"/>
          </w:tcPr>
          <w:p>
            <w:pPr>
              <w:spacing w:line="240" w:lineRule="atLeast"/>
              <w:jc w:val="center"/>
              <w:rPr>
                <w:rFonts w:eastAsia="宋体"/>
                <w:sz w:val="22"/>
              </w:rPr>
            </w:pPr>
            <w:r>
              <w:rPr>
                <w:rFonts w:hint="eastAsia" w:eastAsia="宋体"/>
                <w:sz w:val="22"/>
              </w:rPr>
              <w:t>强制车间通风</w:t>
            </w:r>
          </w:p>
        </w:tc>
        <w:tc>
          <w:tcPr>
            <w:tcW w:w="1423" w:type="dxa"/>
            <w:vAlign w:val="center"/>
          </w:tcPr>
          <w:p>
            <w:pPr>
              <w:spacing w:line="240" w:lineRule="atLeast"/>
              <w:jc w:val="center"/>
              <w:rPr>
                <w:rFonts w:eastAsia="宋体"/>
                <w:sz w:val="22"/>
              </w:rPr>
            </w:pPr>
            <w:r>
              <w:rPr>
                <w:rFonts w:hint="eastAsia" w:eastAsia="宋体"/>
                <w:sz w:val="22"/>
              </w:rPr>
              <w:t>2</w:t>
            </w:r>
          </w:p>
        </w:tc>
        <w:tc>
          <w:tcPr>
            <w:tcW w:w="1477" w:type="dxa"/>
            <w:vAlign w:val="center"/>
          </w:tcPr>
          <w:p>
            <w:pPr>
              <w:spacing w:line="240" w:lineRule="atLeast"/>
              <w:jc w:val="center"/>
              <w:rPr>
                <w:sz w:val="22"/>
              </w:rPr>
            </w:pPr>
            <w:r>
              <w:rPr>
                <w:rFonts w:hint="eastAsia"/>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95" w:type="dxa"/>
            <w:vMerge w:val="restart"/>
            <w:vAlign w:val="center"/>
          </w:tcPr>
          <w:p>
            <w:pPr>
              <w:spacing w:line="240" w:lineRule="atLeast"/>
              <w:jc w:val="center"/>
              <w:rPr>
                <w:rFonts w:eastAsia="宋体"/>
                <w:sz w:val="22"/>
              </w:rPr>
            </w:pPr>
            <w:r>
              <w:rPr>
                <w:rFonts w:hint="eastAsia" w:eastAsia="宋体"/>
                <w:sz w:val="22"/>
              </w:rPr>
              <w:t>3</w:t>
            </w:r>
          </w:p>
        </w:tc>
        <w:tc>
          <w:tcPr>
            <w:tcW w:w="1144" w:type="dxa"/>
            <w:vMerge w:val="restart"/>
            <w:vAlign w:val="center"/>
          </w:tcPr>
          <w:p>
            <w:pPr>
              <w:spacing w:line="240" w:lineRule="atLeast"/>
              <w:jc w:val="center"/>
              <w:rPr>
                <w:rFonts w:eastAsia="宋体"/>
                <w:sz w:val="22"/>
              </w:rPr>
            </w:pPr>
            <w:r>
              <w:rPr>
                <w:rFonts w:hint="eastAsia" w:eastAsia="宋体"/>
                <w:sz w:val="22"/>
              </w:rPr>
              <w:t>固废</w:t>
            </w:r>
          </w:p>
        </w:tc>
        <w:tc>
          <w:tcPr>
            <w:tcW w:w="1441" w:type="dxa"/>
            <w:vAlign w:val="center"/>
          </w:tcPr>
          <w:p>
            <w:pPr>
              <w:spacing w:line="240" w:lineRule="atLeast"/>
              <w:jc w:val="center"/>
              <w:rPr>
                <w:rFonts w:eastAsia="宋体"/>
                <w:sz w:val="22"/>
              </w:rPr>
            </w:pPr>
            <w:r>
              <w:rPr>
                <w:rFonts w:hint="eastAsia" w:eastAsia="宋体"/>
                <w:snapToGrid w:val="0"/>
                <w:kern w:val="52"/>
                <w:sz w:val="22"/>
              </w:rPr>
              <w:t>一般固废</w:t>
            </w:r>
          </w:p>
        </w:tc>
        <w:tc>
          <w:tcPr>
            <w:tcW w:w="2816" w:type="dxa"/>
            <w:vAlign w:val="center"/>
          </w:tcPr>
          <w:p>
            <w:pPr>
              <w:spacing w:line="240" w:lineRule="atLeast"/>
              <w:jc w:val="center"/>
              <w:rPr>
                <w:rFonts w:eastAsia="宋体"/>
                <w:sz w:val="22"/>
              </w:rPr>
            </w:pPr>
            <w:r>
              <w:rPr>
                <w:rFonts w:hint="eastAsia" w:eastAsia="宋体"/>
                <w:sz w:val="22"/>
              </w:rPr>
              <w:t>一般固废暂存区</w:t>
            </w:r>
          </w:p>
        </w:tc>
        <w:tc>
          <w:tcPr>
            <w:tcW w:w="1423" w:type="dxa"/>
            <w:vAlign w:val="center"/>
          </w:tcPr>
          <w:p>
            <w:pPr>
              <w:spacing w:line="240" w:lineRule="atLeast"/>
              <w:jc w:val="center"/>
              <w:rPr>
                <w:rFonts w:eastAsia="宋体"/>
                <w:sz w:val="22"/>
              </w:rPr>
            </w:pPr>
            <w:r>
              <w:rPr>
                <w:rFonts w:hint="eastAsia" w:eastAsia="宋体"/>
                <w:sz w:val="22"/>
              </w:rPr>
              <w:t>1</w:t>
            </w:r>
          </w:p>
        </w:tc>
        <w:tc>
          <w:tcPr>
            <w:tcW w:w="1477" w:type="dxa"/>
            <w:vAlign w:val="center"/>
          </w:tcPr>
          <w:p>
            <w:pPr>
              <w:spacing w:line="240" w:lineRule="atLeast"/>
              <w:jc w:val="center"/>
              <w:rPr>
                <w:sz w:val="22"/>
              </w:rPr>
            </w:pPr>
            <w:r>
              <w:rPr>
                <w:rFonts w:hint="eastAsia"/>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95" w:type="dxa"/>
            <w:vMerge w:val="continue"/>
            <w:vAlign w:val="center"/>
          </w:tcPr>
          <w:p>
            <w:pPr>
              <w:spacing w:line="240" w:lineRule="atLeast"/>
              <w:jc w:val="center"/>
              <w:rPr>
                <w:rFonts w:eastAsia="宋体"/>
                <w:sz w:val="22"/>
              </w:rPr>
            </w:pPr>
          </w:p>
        </w:tc>
        <w:tc>
          <w:tcPr>
            <w:tcW w:w="1144" w:type="dxa"/>
            <w:vMerge w:val="continue"/>
            <w:vAlign w:val="center"/>
          </w:tcPr>
          <w:p>
            <w:pPr>
              <w:spacing w:line="240" w:lineRule="atLeast"/>
              <w:jc w:val="center"/>
              <w:rPr>
                <w:rFonts w:eastAsia="宋体"/>
                <w:sz w:val="22"/>
              </w:rPr>
            </w:pPr>
          </w:p>
        </w:tc>
        <w:tc>
          <w:tcPr>
            <w:tcW w:w="1441" w:type="dxa"/>
            <w:vAlign w:val="center"/>
          </w:tcPr>
          <w:p>
            <w:pPr>
              <w:spacing w:line="240" w:lineRule="atLeast"/>
              <w:jc w:val="center"/>
              <w:rPr>
                <w:rFonts w:eastAsia="宋体"/>
                <w:snapToGrid w:val="0"/>
                <w:kern w:val="52"/>
                <w:sz w:val="22"/>
              </w:rPr>
            </w:pPr>
            <w:r>
              <w:rPr>
                <w:rFonts w:hint="eastAsia" w:eastAsia="宋体"/>
                <w:bCs/>
                <w:snapToGrid w:val="0"/>
                <w:kern w:val="0"/>
                <w:sz w:val="22"/>
              </w:rPr>
              <w:t>危险废物</w:t>
            </w:r>
          </w:p>
        </w:tc>
        <w:tc>
          <w:tcPr>
            <w:tcW w:w="2816" w:type="dxa"/>
            <w:vAlign w:val="center"/>
          </w:tcPr>
          <w:p>
            <w:pPr>
              <w:spacing w:line="240" w:lineRule="atLeast"/>
              <w:jc w:val="center"/>
              <w:rPr>
                <w:rFonts w:eastAsia="宋体"/>
                <w:sz w:val="22"/>
              </w:rPr>
            </w:pPr>
            <w:r>
              <w:rPr>
                <w:rFonts w:hint="eastAsia" w:eastAsia="宋体"/>
                <w:sz w:val="22"/>
              </w:rPr>
              <w:t>危险废物暂存室</w:t>
            </w:r>
          </w:p>
        </w:tc>
        <w:tc>
          <w:tcPr>
            <w:tcW w:w="1423" w:type="dxa"/>
            <w:vAlign w:val="center"/>
          </w:tcPr>
          <w:p>
            <w:pPr>
              <w:spacing w:line="240" w:lineRule="atLeast"/>
              <w:jc w:val="center"/>
              <w:rPr>
                <w:rFonts w:eastAsia="宋体"/>
                <w:sz w:val="22"/>
              </w:rPr>
            </w:pPr>
            <w:r>
              <w:rPr>
                <w:rFonts w:hint="eastAsia" w:eastAsia="宋体"/>
                <w:sz w:val="22"/>
              </w:rPr>
              <w:t>2</w:t>
            </w:r>
          </w:p>
        </w:tc>
        <w:tc>
          <w:tcPr>
            <w:tcW w:w="1477" w:type="dxa"/>
            <w:vAlign w:val="center"/>
          </w:tcPr>
          <w:p>
            <w:pPr>
              <w:spacing w:line="240" w:lineRule="atLeast"/>
              <w:jc w:val="center"/>
              <w:rPr>
                <w:sz w:val="22"/>
              </w:rPr>
            </w:pPr>
            <w:r>
              <w:rPr>
                <w:rFonts w:hint="eastAsia"/>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95" w:type="dxa"/>
            <w:vAlign w:val="center"/>
          </w:tcPr>
          <w:p>
            <w:pPr>
              <w:spacing w:line="240" w:lineRule="atLeast"/>
              <w:jc w:val="center"/>
              <w:rPr>
                <w:rFonts w:eastAsia="宋体"/>
                <w:sz w:val="22"/>
              </w:rPr>
            </w:pPr>
            <w:r>
              <w:rPr>
                <w:rFonts w:hint="eastAsia" w:eastAsia="宋体"/>
                <w:sz w:val="22"/>
              </w:rPr>
              <w:t>4</w:t>
            </w:r>
          </w:p>
        </w:tc>
        <w:tc>
          <w:tcPr>
            <w:tcW w:w="1144" w:type="dxa"/>
            <w:vAlign w:val="center"/>
          </w:tcPr>
          <w:p>
            <w:pPr>
              <w:spacing w:line="240" w:lineRule="atLeast"/>
              <w:jc w:val="center"/>
              <w:rPr>
                <w:rFonts w:eastAsia="宋体"/>
                <w:sz w:val="22"/>
              </w:rPr>
            </w:pPr>
            <w:r>
              <w:rPr>
                <w:rFonts w:hint="eastAsia" w:eastAsia="宋体"/>
                <w:sz w:val="22"/>
              </w:rPr>
              <w:t>噪声</w:t>
            </w:r>
          </w:p>
        </w:tc>
        <w:tc>
          <w:tcPr>
            <w:tcW w:w="4257" w:type="dxa"/>
            <w:gridSpan w:val="2"/>
            <w:vAlign w:val="center"/>
          </w:tcPr>
          <w:p>
            <w:pPr>
              <w:spacing w:line="240" w:lineRule="atLeast"/>
              <w:jc w:val="center"/>
              <w:rPr>
                <w:rFonts w:eastAsia="宋体"/>
                <w:sz w:val="22"/>
              </w:rPr>
            </w:pPr>
            <w:r>
              <w:rPr>
                <w:rFonts w:hint="eastAsia" w:eastAsia="宋体"/>
                <w:sz w:val="22"/>
              </w:rPr>
              <w:t>减振、隔声、绿化等措施</w:t>
            </w:r>
          </w:p>
        </w:tc>
        <w:tc>
          <w:tcPr>
            <w:tcW w:w="1423" w:type="dxa"/>
            <w:vAlign w:val="center"/>
          </w:tcPr>
          <w:p>
            <w:pPr>
              <w:spacing w:line="240" w:lineRule="atLeast"/>
              <w:jc w:val="center"/>
              <w:rPr>
                <w:rFonts w:eastAsia="宋体"/>
                <w:sz w:val="22"/>
              </w:rPr>
            </w:pPr>
            <w:r>
              <w:rPr>
                <w:rFonts w:hint="eastAsia" w:eastAsia="宋体"/>
                <w:sz w:val="22"/>
              </w:rPr>
              <w:t>2</w:t>
            </w:r>
          </w:p>
        </w:tc>
        <w:tc>
          <w:tcPr>
            <w:tcW w:w="1477" w:type="dxa"/>
            <w:vAlign w:val="center"/>
          </w:tcPr>
          <w:p>
            <w:pPr>
              <w:spacing w:line="240" w:lineRule="atLeast"/>
              <w:jc w:val="center"/>
              <w:rPr>
                <w:sz w:val="22"/>
              </w:rPr>
            </w:pPr>
            <w:r>
              <w:rPr>
                <w:rFonts w:hint="eastAsia"/>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95" w:type="dxa"/>
            <w:vAlign w:val="center"/>
          </w:tcPr>
          <w:p>
            <w:pPr>
              <w:spacing w:line="240" w:lineRule="atLeast"/>
              <w:jc w:val="center"/>
              <w:rPr>
                <w:rFonts w:eastAsia="宋体"/>
                <w:sz w:val="22"/>
              </w:rPr>
            </w:pPr>
          </w:p>
        </w:tc>
        <w:tc>
          <w:tcPr>
            <w:tcW w:w="5401" w:type="dxa"/>
            <w:gridSpan w:val="3"/>
            <w:vAlign w:val="center"/>
          </w:tcPr>
          <w:p>
            <w:pPr>
              <w:spacing w:line="240" w:lineRule="atLeast"/>
              <w:jc w:val="center"/>
              <w:rPr>
                <w:rFonts w:eastAsia="宋体"/>
                <w:sz w:val="22"/>
              </w:rPr>
            </w:pPr>
            <w:r>
              <w:rPr>
                <w:rFonts w:hint="eastAsia" w:eastAsia="宋体"/>
                <w:sz w:val="22"/>
              </w:rPr>
              <w:t>合计</w:t>
            </w:r>
          </w:p>
        </w:tc>
        <w:tc>
          <w:tcPr>
            <w:tcW w:w="1423" w:type="dxa"/>
            <w:vAlign w:val="center"/>
          </w:tcPr>
          <w:p>
            <w:pPr>
              <w:spacing w:line="240" w:lineRule="atLeast"/>
              <w:jc w:val="center"/>
              <w:rPr>
                <w:rFonts w:eastAsia="宋体"/>
                <w:sz w:val="22"/>
              </w:rPr>
            </w:pPr>
            <w:r>
              <w:rPr>
                <w:rFonts w:hint="eastAsia" w:eastAsia="宋体"/>
                <w:sz w:val="22"/>
              </w:rPr>
              <w:t>19</w:t>
            </w:r>
          </w:p>
        </w:tc>
        <w:tc>
          <w:tcPr>
            <w:tcW w:w="1477" w:type="dxa"/>
            <w:vAlign w:val="center"/>
          </w:tcPr>
          <w:p>
            <w:pPr>
              <w:spacing w:line="240" w:lineRule="atLeast"/>
              <w:jc w:val="center"/>
              <w:rPr>
                <w:sz w:val="22"/>
              </w:rPr>
            </w:pPr>
            <w:r>
              <w:rPr>
                <w:rFonts w:hint="eastAsia"/>
                <w:sz w:val="22"/>
              </w:rPr>
              <w:t>19</w:t>
            </w:r>
          </w:p>
        </w:tc>
      </w:tr>
    </w:tbl>
    <w:p>
      <w:pPr>
        <w:pStyle w:val="2"/>
        <w:spacing w:before="177" w:after="106"/>
        <w:sectPr>
          <w:pgSz w:w="11906" w:h="16838"/>
          <w:pgMar w:top="1440" w:right="1588" w:bottom="1191" w:left="1588" w:header="850" w:footer="992" w:gutter="0"/>
          <w:cols w:space="425" w:num="1"/>
          <w:docGrid w:type="lines" w:linePitch="354" w:charSpace="0"/>
        </w:sectPr>
      </w:pPr>
      <w:bookmarkStart w:id="64" w:name="_Toc499059473"/>
      <w:bookmarkStart w:id="65" w:name="_Toc499060210"/>
      <w:bookmarkStart w:id="66" w:name="_Toc502699366"/>
    </w:p>
    <w:p>
      <w:pPr>
        <w:pStyle w:val="2"/>
        <w:spacing w:before="177" w:after="106"/>
        <w:rPr>
          <w:color w:val="3E3E3E"/>
        </w:rPr>
      </w:pPr>
      <w:r>
        <w:t>5建设项目环评报告表的主要结论与建议及审批部门审批决定</w:t>
      </w:r>
      <w:bookmarkEnd w:id="64"/>
      <w:bookmarkEnd w:id="65"/>
      <w:bookmarkEnd w:id="66"/>
    </w:p>
    <w:p>
      <w:pPr>
        <w:pStyle w:val="3"/>
        <w:spacing w:before="70" w:after="70"/>
        <w:rPr>
          <w:color w:val="3E3E3E"/>
        </w:rPr>
      </w:pPr>
      <w:bookmarkStart w:id="67" w:name="_Toc499059474"/>
      <w:bookmarkStart w:id="68" w:name="_Toc499060211"/>
      <w:bookmarkStart w:id="69" w:name="_Toc502699367"/>
      <w:r>
        <w:t>5.1建设项目环评报告表的主要结论与建议</w:t>
      </w:r>
      <w:bookmarkEnd w:id="67"/>
      <w:bookmarkEnd w:id="68"/>
      <w:bookmarkEnd w:id="69"/>
    </w:p>
    <w:p>
      <w:pPr>
        <w:widowControl/>
        <w:shd w:val="clear" w:color="auto" w:fill="FFFFFF"/>
        <w:adjustRightInd/>
        <w:snapToGrid/>
        <w:ind w:firstLine="522"/>
      </w:pPr>
      <w:r>
        <w:t>临沂周兴建材有限公司生产加工石膏贴面板、石膏制品和机械加工项目环境影响报告表的结论及建议见附件二</w:t>
      </w:r>
      <w:r>
        <w:rPr>
          <w:rFonts w:hint="eastAsia"/>
        </w:rPr>
        <w:t>。</w:t>
      </w:r>
    </w:p>
    <w:p>
      <w:pPr>
        <w:pStyle w:val="3"/>
        <w:spacing w:before="70" w:after="70"/>
      </w:pPr>
      <w:bookmarkStart w:id="70" w:name="_Toc502699368"/>
      <w:bookmarkStart w:id="71" w:name="_Toc499060212"/>
      <w:bookmarkStart w:id="72" w:name="_Toc499059475"/>
      <w:r>
        <w:t>5.2审批部门审批决定</w:t>
      </w:r>
      <w:bookmarkEnd w:id="70"/>
      <w:bookmarkEnd w:id="71"/>
      <w:bookmarkEnd w:id="72"/>
    </w:p>
    <w:p>
      <w:pPr>
        <w:ind w:firstLine="520"/>
      </w:pPr>
      <w:r>
        <w:t>临沂周兴建材有限公司生产加工石膏贴面板、石膏制品和机械加工项目环境影响报告表的批复为临环高表[2017]62号文件，环评批复见附件一。</w:t>
      </w:r>
    </w:p>
    <w:p>
      <w:pPr>
        <w:pStyle w:val="3"/>
        <w:spacing w:before="70" w:after="70"/>
      </w:pPr>
      <w:bookmarkStart w:id="73" w:name="_Toc502699369"/>
      <w:r>
        <w:t>5.</w:t>
      </w:r>
      <w:r>
        <w:rPr>
          <w:rFonts w:hint="eastAsia"/>
        </w:rPr>
        <w:t>3环评批复落实情况</w:t>
      </w:r>
      <w:bookmarkEnd w:id="73"/>
    </w:p>
    <w:p>
      <w:pPr>
        <w:spacing w:line="240" w:lineRule="auto"/>
        <w:ind w:firstLine="520" w:firstLineChars="200"/>
      </w:pPr>
      <w:r>
        <w:rPr>
          <w:rFonts w:hint="eastAsia"/>
        </w:rPr>
        <w:t>该项目环评批复落实情况如下：</w:t>
      </w:r>
    </w:p>
    <w:tbl>
      <w:tblPr>
        <w:tblStyle w:val="47"/>
        <w:tblW w:w="89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05"/>
        <w:gridCol w:w="3956"/>
        <w:gridCol w:w="7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1" w:hRule="atLeast"/>
        </w:trPr>
        <w:tc>
          <w:tcPr>
            <w:tcW w:w="4205" w:type="dxa"/>
            <w:vAlign w:val="center"/>
          </w:tcPr>
          <w:p>
            <w:pPr>
              <w:overflowPunct w:val="0"/>
              <w:spacing w:line="240" w:lineRule="auto"/>
              <w:jc w:val="center"/>
              <w:rPr>
                <w:color w:val="000000"/>
                <w:sz w:val="22"/>
              </w:rPr>
            </w:pPr>
            <w:r>
              <w:rPr>
                <w:color w:val="000000"/>
                <w:sz w:val="22"/>
              </w:rPr>
              <w:t>环评批复</w:t>
            </w:r>
          </w:p>
        </w:tc>
        <w:tc>
          <w:tcPr>
            <w:tcW w:w="3956" w:type="dxa"/>
            <w:vAlign w:val="center"/>
          </w:tcPr>
          <w:p>
            <w:pPr>
              <w:overflowPunct w:val="0"/>
              <w:spacing w:line="240" w:lineRule="auto"/>
              <w:jc w:val="center"/>
              <w:rPr>
                <w:color w:val="000000"/>
                <w:sz w:val="22"/>
              </w:rPr>
            </w:pPr>
            <w:r>
              <w:rPr>
                <w:color w:val="000000"/>
                <w:sz w:val="22"/>
              </w:rPr>
              <w:t>落实情况</w:t>
            </w:r>
          </w:p>
        </w:tc>
        <w:tc>
          <w:tcPr>
            <w:tcW w:w="755" w:type="dxa"/>
            <w:vAlign w:val="center"/>
          </w:tcPr>
          <w:p>
            <w:pPr>
              <w:overflowPunct w:val="0"/>
              <w:spacing w:line="240" w:lineRule="auto"/>
              <w:ind w:right="-182" w:rightChars="-70"/>
              <w:jc w:val="center"/>
              <w:rPr>
                <w:color w:val="000000"/>
                <w:sz w:val="22"/>
              </w:rPr>
            </w:pPr>
            <w:r>
              <w:rPr>
                <w:color w:val="000000"/>
                <w:sz w:val="22"/>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2" w:hRule="atLeast"/>
        </w:trPr>
        <w:tc>
          <w:tcPr>
            <w:tcW w:w="4205" w:type="dxa"/>
            <w:vAlign w:val="center"/>
          </w:tcPr>
          <w:p>
            <w:pPr>
              <w:overflowPunct w:val="0"/>
              <w:spacing w:line="400" w:lineRule="exact"/>
              <w:ind w:firstLine="440" w:firstLineChars="200"/>
              <w:rPr>
                <w:rFonts w:eastAsia="宋体"/>
                <w:kern w:val="0"/>
                <w:sz w:val="22"/>
              </w:rPr>
            </w:pPr>
            <w:r>
              <w:rPr>
                <w:rFonts w:hint="eastAsia" w:eastAsia="宋体"/>
                <w:kern w:val="0"/>
                <w:sz w:val="22"/>
              </w:rPr>
              <w:t>（一）加强环境管理，严格落实报告表提出的废气污染防治猎施。</w:t>
            </w:r>
          </w:p>
          <w:p>
            <w:pPr>
              <w:overflowPunct w:val="0"/>
              <w:spacing w:line="400" w:lineRule="exact"/>
              <w:ind w:firstLine="440" w:firstLineChars="200"/>
              <w:rPr>
                <w:rFonts w:eastAsia="宋体"/>
                <w:kern w:val="0"/>
                <w:sz w:val="22"/>
              </w:rPr>
            </w:pPr>
            <w:r>
              <w:rPr>
                <w:rFonts w:hint="eastAsia" w:eastAsia="宋体"/>
                <w:kern w:val="0"/>
                <w:sz w:val="22"/>
              </w:rPr>
              <w:t>1、有组织废气：本项目有组织废气主要为石膏贴面板切割工序产生的切割粉尘。在切割工序设施集气罩，收集后经2台脉冲式布袋除尘器进行处理，经处理后由15米高排气筒排放。粉尘排放浓度必须满足《山东省区域性大气污染物综合排放标准》（DB 37/2376-2013）表2第四时段标准要求，排放速率必须满足《大气污染物综合排放标准》（GB 16297-1996）表2二级标准要求。</w:t>
            </w:r>
          </w:p>
          <w:p>
            <w:pPr>
              <w:overflowPunct w:val="0"/>
              <w:spacing w:line="400" w:lineRule="exact"/>
              <w:ind w:firstLine="440" w:firstLineChars="200"/>
              <w:rPr>
                <w:rFonts w:eastAsia="宋体"/>
                <w:kern w:val="0"/>
                <w:sz w:val="22"/>
              </w:rPr>
            </w:pPr>
            <w:r>
              <w:rPr>
                <w:rFonts w:hint="eastAsia" w:eastAsia="宋体"/>
                <w:kern w:val="0"/>
                <w:sz w:val="22"/>
              </w:rPr>
              <w:t>本项目贴面工序产生的非甲烷总烃，在产生位置上方设置集气罩，收集后由光氧催化设备进行处理，经1根15米高排气筒排放，排放浓度和排放速率必须满足《大气污染物综合排放标准》（GB 16297-1996）表2标准要求。</w:t>
            </w:r>
          </w:p>
        </w:tc>
        <w:tc>
          <w:tcPr>
            <w:tcW w:w="3956" w:type="dxa"/>
            <w:vAlign w:val="center"/>
          </w:tcPr>
          <w:p>
            <w:pPr>
              <w:overflowPunct w:val="0"/>
              <w:spacing w:line="400" w:lineRule="exact"/>
              <w:ind w:firstLine="440" w:firstLineChars="200"/>
              <w:rPr>
                <w:sz w:val="22"/>
              </w:rPr>
            </w:pPr>
            <w:r>
              <w:rPr>
                <w:rFonts w:hint="eastAsia"/>
                <w:sz w:val="22"/>
              </w:rPr>
              <w:t>该项目2条石膏贴面板切割生产线，每条线产生的</w:t>
            </w:r>
            <w:r>
              <w:rPr>
                <w:rFonts w:hint="eastAsia" w:asciiTheme="minorEastAsia" w:hAnsiTheme="minorEastAsia"/>
                <w:bCs/>
                <w:sz w:val="22"/>
              </w:rPr>
              <w:t>切割粉尘</w:t>
            </w:r>
            <w:r>
              <w:rPr>
                <w:rFonts w:hint="eastAsia"/>
                <w:sz w:val="22"/>
              </w:rPr>
              <w:t>经各自集气罩及吸尘管道收集后进各自布袋除尘器处理，处理后废气汇集到1根15米高排气筒排放；</w:t>
            </w:r>
            <w:r>
              <w:rPr>
                <w:rFonts w:hint="eastAsia" w:asciiTheme="minorEastAsia" w:hAnsiTheme="minorEastAsia"/>
                <w:bCs/>
                <w:sz w:val="22"/>
              </w:rPr>
              <w:t>贴面工序产生的非甲烷总烃</w:t>
            </w:r>
            <w:r>
              <w:rPr>
                <w:rFonts w:hint="eastAsia"/>
                <w:sz w:val="22"/>
              </w:rPr>
              <w:t>废气经集气罩收集后通过1台光催化氧化处理设施进行处理，处理后废气通过1根15米高排气筒排放。</w:t>
            </w:r>
          </w:p>
          <w:p>
            <w:pPr>
              <w:overflowPunct w:val="0"/>
              <w:spacing w:line="400" w:lineRule="exact"/>
              <w:ind w:firstLine="440" w:firstLineChars="200"/>
              <w:rPr>
                <w:bCs/>
                <w:kern w:val="0"/>
                <w:sz w:val="22"/>
              </w:rPr>
            </w:pPr>
            <w:r>
              <w:rPr>
                <w:rFonts w:hint="eastAsia"/>
                <w:sz w:val="22"/>
              </w:rPr>
              <w:t>经监测，该项目石膏贴面板切割工序产生的粉尘满足</w:t>
            </w:r>
            <w:r>
              <w:rPr>
                <w:rFonts w:hint="eastAsia" w:eastAsia="宋体"/>
                <w:kern w:val="0"/>
                <w:sz w:val="22"/>
              </w:rPr>
              <w:t>《山东省区域性大气污染物综合排放标准》（DB 37/2376-2013）表2第四时段“重点控制区”标准要求，排放速率满足《大气污染物综合排放标准》（GB 16297-1996）表2二级标准要求；贴面工序产生的非甲烷总烃排放满足《大气污染物综合排放标准》（GB 16297-1996）表2二级标准要求。</w:t>
            </w:r>
          </w:p>
        </w:tc>
        <w:tc>
          <w:tcPr>
            <w:tcW w:w="755" w:type="dxa"/>
            <w:vAlign w:val="center"/>
          </w:tcPr>
          <w:p>
            <w:pPr>
              <w:overflowPunct w:val="0"/>
              <w:jc w:val="center"/>
              <w:rPr>
                <w:sz w:val="22"/>
              </w:rPr>
            </w:pPr>
            <w:r>
              <w:rPr>
                <w:sz w:val="22"/>
              </w:rPr>
              <w:t>已落实</w:t>
            </w:r>
          </w:p>
        </w:tc>
      </w:tr>
    </w:tbl>
    <w:p/>
    <w:tbl>
      <w:tblPr>
        <w:tblStyle w:val="47"/>
        <w:tblW w:w="903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936"/>
        <w:gridCol w:w="4110"/>
        <w:gridCol w:w="9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31" w:hRule="atLeast"/>
        </w:trPr>
        <w:tc>
          <w:tcPr>
            <w:tcW w:w="3936" w:type="dxa"/>
            <w:tcBorders>
              <w:top w:val="single" w:color="auto" w:sz="6" w:space="0"/>
              <w:left w:val="single" w:color="auto" w:sz="6" w:space="0"/>
              <w:bottom w:val="single" w:color="auto" w:sz="6" w:space="0"/>
              <w:right w:val="single" w:color="auto" w:sz="6" w:space="0"/>
            </w:tcBorders>
            <w:vAlign w:val="center"/>
          </w:tcPr>
          <w:p>
            <w:pPr>
              <w:overflowPunct w:val="0"/>
              <w:spacing w:line="400" w:lineRule="exact"/>
              <w:ind w:firstLine="440" w:firstLineChars="200"/>
              <w:jc w:val="center"/>
              <w:rPr>
                <w:kern w:val="0"/>
                <w:sz w:val="22"/>
              </w:rPr>
            </w:pPr>
            <w:r>
              <w:rPr>
                <w:kern w:val="0"/>
                <w:sz w:val="22"/>
              </w:rPr>
              <w:t>环评批复</w:t>
            </w:r>
          </w:p>
        </w:tc>
        <w:tc>
          <w:tcPr>
            <w:tcW w:w="4110" w:type="dxa"/>
            <w:tcBorders>
              <w:top w:val="single" w:color="auto" w:sz="6" w:space="0"/>
              <w:left w:val="single" w:color="auto" w:sz="6" w:space="0"/>
              <w:bottom w:val="single" w:color="auto" w:sz="6" w:space="0"/>
              <w:right w:val="single" w:color="auto" w:sz="6" w:space="0"/>
            </w:tcBorders>
            <w:vAlign w:val="center"/>
          </w:tcPr>
          <w:p>
            <w:pPr>
              <w:overflowPunct w:val="0"/>
              <w:spacing w:line="400" w:lineRule="exact"/>
              <w:ind w:firstLine="440" w:firstLineChars="200"/>
              <w:jc w:val="center"/>
              <w:rPr>
                <w:sz w:val="22"/>
              </w:rPr>
            </w:pPr>
            <w:r>
              <w:rPr>
                <w:sz w:val="22"/>
              </w:rPr>
              <w:t>落实情况</w:t>
            </w:r>
          </w:p>
        </w:tc>
        <w:tc>
          <w:tcPr>
            <w:tcW w:w="993" w:type="dxa"/>
            <w:tcBorders>
              <w:top w:val="single" w:color="auto" w:sz="6" w:space="0"/>
              <w:left w:val="single" w:color="auto" w:sz="6" w:space="0"/>
              <w:bottom w:val="single" w:color="auto" w:sz="6" w:space="0"/>
              <w:right w:val="single" w:color="auto" w:sz="6" w:space="0"/>
            </w:tcBorders>
            <w:vAlign w:val="center"/>
          </w:tcPr>
          <w:p>
            <w:pPr>
              <w:overflowPunct w:val="0"/>
              <w:spacing w:line="240" w:lineRule="auto"/>
              <w:jc w:val="center"/>
              <w:rPr>
                <w:sz w:val="22"/>
              </w:rPr>
            </w:pPr>
            <w:r>
              <w:rPr>
                <w:sz w:val="22"/>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04" w:hRule="atLeast"/>
        </w:trPr>
        <w:tc>
          <w:tcPr>
            <w:tcW w:w="3936" w:type="dxa"/>
            <w:vAlign w:val="center"/>
          </w:tcPr>
          <w:p>
            <w:pPr>
              <w:overflowPunct w:val="0"/>
              <w:spacing w:line="400" w:lineRule="exact"/>
              <w:ind w:firstLine="440" w:firstLineChars="200"/>
              <w:rPr>
                <w:kern w:val="0"/>
                <w:sz w:val="22"/>
              </w:rPr>
            </w:pPr>
            <w:r>
              <w:rPr>
                <w:rFonts w:hint="eastAsia" w:eastAsia="宋体"/>
                <w:sz w:val="22"/>
              </w:rPr>
              <w:t>部分未被收集的非甲烷总烃、未被收集的粉尘，以及机械设备加工过程中产生的烟尘无组织形式排放，非甲烷总烃和颗粒物边界浓度必须满足《大气污染物综合排放标准》（GB 16297-1996）表2无组织排放监控浓度限值要求。</w:t>
            </w:r>
          </w:p>
        </w:tc>
        <w:tc>
          <w:tcPr>
            <w:tcW w:w="4110" w:type="dxa"/>
            <w:vAlign w:val="center"/>
          </w:tcPr>
          <w:p>
            <w:pPr>
              <w:overflowPunct w:val="0"/>
              <w:spacing w:line="400" w:lineRule="exact"/>
              <w:ind w:firstLine="440" w:firstLineChars="200"/>
              <w:rPr>
                <w:sz w:val="22"/>
              </w:rPr>
            </w:pPr>
            <w:r>
              <w:rPr>
                <w:rFonts w:hint="eastAsia"/>
                <w:sz w:val="22"/>
              </w:rPr>
              <w:t>该项目未经收集的</w:t>
            </w:r>
            <w:r>
              <w:rPr>
                <w:rFonts w:hint="eastAsia" w:eastAsia="宋体"/>
                <w:sz w:val="22"/>
              </w:rPr>
              <w:t>非甲烷总烃、粉尘废气经加强车间通风后无组织排放，经监测，厂界非甲烷总烃、颗粒物排放满足《大气污染物综合排放标准》（GB 16297-1996）表2无组织排放监控浓度限值要求。</w:t>
            </w:r>
          </w:p>
        </w:tc>
        <w:tc>
          <w:tcPr>
            <w:tcW w:w="993" w:type="dxa"/>
            <w:vAlign w:val="center"/>
          </w:tcPr>
          <w:p>
            <w:pPr>
              <w:overflowPunct w:val="0"/>
              <w:jc w:val="center"/>
              <w:rPr>
                <w:sz w:val="22"/>
              </w:rPr>
            </w:pPr>
            <w:r>
              <w:rPr>
                <w:sz w:val="22"/>
              </w:rPr>
              <w:t>已落实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21" w:hRule="atLeast"/>
        </w:trPr>
        <w:tc>
          <w:tcPr>
            <w:tcW w:w="3936" w:type="dxa"/>
            <w:vAlign w:val="center"/>
          </w:tcPr>
          <w:p>
            <w:pPr>
              <w:overflowPunct w:val="0"/>
              <w:spacing w:line="400" w:lineRule="exact"/>
              <w:ind w:firstLine="440" w:firstLineChars="200"/>
              <w:rPr>
                <w:rFonts w:eastAsia="宋体"/>
                <w:kern w:val="0"/>
                <w:sz w:val="22"/>
              </w:rPr>
            </w:pPr>
            <w:r>
              <w:rPr>
                <w:rFonts w:hint="eastAsia" w:eastAsia="宋体"/>
                <w:kern w:val="0"/>
                <w:sz w:val="22"/>
              </w:rPr>
              <w:t>（二）落实水污染防治措施。合理设计雨水管网、废水管网，排水系统应按“清污分流”原则进行设计。</w:t>
            </w:r>
          </w:p>
          <w:p>
            <w:pPr>
              <w:overflowPunct w:val="0"/>
              <w:spacing w:line="400" w:lineRule="exact"/>
              <w:ind w:firstLine="440" w:firstLineChars="200"/>
              <w:rPr>
                <w:kern w:val="0"/>
                <w:sz w:val="22"/>
              </w:rPr>
            </w:pPr>
            <w:r>
              <w:rPr>
                <w:rFonts w:hint="eastAsia" w:eastAsia="宋体"/>
                <w:kern w:val="0"/>
                <w:sz w:val="22"/>
              </w:rPr>
              <w:t>本项目废水主要为职工生活污水。生活污水经化粪池处理后定期外运堆肥。</w:t>
            </w:r>
          </w:p>
        </w:tc>
        <w:tc>
          <w:tcPr>
            <w:tcW w:w="4110" w:type="dxa"/>
            <w:vAlign w:val="center"/>
          </w:tcPr>
          <w:p>
            <w:pPr>
              <w:overflowPunct w:val="0"/>
              <w:spacing w:line="400" w:lineRule="exact"/>
              <w:ind w:firstLine="440" w:firstLineChars="200"/>
              <w:rPr>
                <w:bCs/>
                <w:sz w:val="22"/>
              </w:rPr>
            </w:pPr>
            <w:r>
              <w:rPr>
                <w:rFonts w:hint="eastAsia"/>
                <w:kern w:val="0"/>
                <w:sz w:val="22"/>
              </w:rPr>
              <w:t>该项目石膏线条模具清洗用水循环使用，不外排，项目废水主要是生活污水，经化粪池处理后外运堆肥。</w:t>
            </w:r>
          </w:p>
        </w:tc>
        <w:tc>
          <w:tcPr>
            <w:tcW w:w="993" w:type="dxa"/>
            <w:vAlign w:val="center"/>
          </w:tcPr>
          <w:p>
            <w:pPr>
              <w:overflowPunct w:val="0"/>
              <w:jc w:val="center"/>
              <w:rPr>
                <w:sz w:val="22"/>
              </w:rPr>
            </w:pPr>
            <w:r>
              <w:rPr>
                <w:sz w:val="22"/>
              </w:rPr>
              <w:t>已落实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87" w:hRule="atLeast"/>
        </w:trPr>
        <w:tc>
          <w:tcPr>
            <w:tcW w:w="3936" w:type="dxa"/>
            <w:vAlign w:val="center"/>
          </w:tcPr>
          <w:p>
            <w:pPr>
              <w:overflowPunct w:val="0"/>
              <w:spacing w:line="400" w:lineRule="exact"/>
              <w:ind w:firstLine="440" w:firstLineChars="200"/>
              <w:rPr>
                <w:kern w:val="0"/>
                <w:sz w:val="22"/>
              </w:rPr>
            </w:pPr>
            <w:r>
              <w:rPr>
                <w:rFonts w:hint="eastAsia" w:eastAsia="宋体"/>
                <w:kern w:val="0"/>
                <w:sz w:val="22"/>
              </w:rPr>
              <w:t>（三）通过选用低噪音设备，并相应采取减震、隔音、消声、选用低噪音设备、合理一布局等措施，确保厂界噪声符合《工业企业厂界环境噪声排放标准》（GB 12348-2008）2类功能区标准要求。</w:t>
            </w:r>
          </w:p>
        </w:tc>
        <w:tc>
          <w:tcPr>
            <w:tcW w:w="4110" w:type="dxa"/>
            <w:vAlign w:val="center"/>
          </w:tcPr>
          <w:p>
            <w:pPr>
              <w:overflowPunct w:val="0"/>
              <w:spacing w:line="400" w:lineRule="exact"/>
              <w:ind w:firstLine="440" w:firstLineChars="200"/>
              <w:rPr>
                <w:sz w:val="22"/>
              </w:rPr>
            </w:pPr>
            <w:r>
              <w:rPr>
                <w:rFonts w:hint="eastAsia" w:asciiTheme="minorEastAsia" w:hAnsiTheme="minorEastAsia"/>
                <w:sz w:val="22"/>
              </w:rPr>
              <w:t>该项目噪声主要为双面贴膜机、切割锯、包边机、包装流水线、码垛机、石膏线条生产线、搅拌机、切割机和各类机械加工车床等设备运转产生的噪声。</w:t>
            </w:r>
            <w:r>
              <w:rPr>
                <w:rFonts w:hint="eastAsia"/>
                <w:sz w:val="22"/>
              </w:rPr>
              <w:t>该项目通过选用低噪声设备，将生产设备全部安装在厂房内，合理布置设备位置并根据噪声源的特点分别采取减振、隔音等措施，降低噪声对周围环境的影响。</w:t>
            </w:r>
          </w:p>
          <w:p>
            <w:pPr>
              <w:overflowPunct w:val="0"/>
              <w:spacing w:line="400" w:lineRule="exact"/>
              <w:ind w:firstLine="440" w:firstLineChars="200"/>
              <w:rPr>
                <w:kern w:val="0"/>
                <w:sz w:val="22"/>
              </w:rPr>
            </w:pPr>
            <w:r>
              <w:rPr>
                <w:rFonts w:hint="eastAsia"/>
                <w:bCs/>
                <w:sz w:val="22"/>
              </w:rPr>
              <w:t>经监测，厂界噪声满足</w:t>
            </w:r>
            <w:r>
              <w:rPr>
                <w:rFonts w:hint="eastAsia"/>
                <w:kern w:val="0"/>
                <w:sz w:val="22"/>
              </w:rPr>
              <w:t>《工业企业厂界环境噪声排放标准》（GB 12348-2008）中2类标准要求。</w:t>
            </w:r>
          </w:p>
        </w:tc>
        <w:tc>
          <w:tcPr>
            <w:tcW w:w="993" w:type="dxa"/>
            <w:vAlign w:val="center"/>
          </w:tcPr>
          <w:p>
            <w:pPr>
              <w:overflowPunct w:val="0"/>
              <w:jc w:val="center"/>
              <w:rPr>
                <w:sz w:val="22"/>
              </w:rPr>
            </w:pPr>
            <w:r>
              <w:rPr>
                <w:sz w:val="22"/>
              </w:rPr>
              <w:t>已落实</w:t>
            </w:r>
          </w:p>
        </w:tc>
      </w:tr>
    </w:tbl>
    <w:p>
      <w:pPr>
        <w:sectPr>
          <w:pgSz w:w="11906" w:h="16838"/>
          <w:pgMar w:top="1440" w:right="1588" w:bottom="1191" w:left="1588" w:header="850" w:footer="992" w:gutter="0"/>
          <w:cols w:space="425" w:num="1"/>
          <w:docGrid w:type="lines" w:linePitch="354" w:charSpace="0"/>
        </w:sectPr>
      </w:pPr>
    </w:p>
    <w:p/>
    <w:tbl>
      <w:tblPr>
        <w:tblStyle w:val="47"/>
        <w:tblW w:w="903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929"/>
        <w:gridCol w:w="7"/>
        <w:gridCol w:w="4110"/>
        <w:gridCol w:w="9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31" w:hRule="atLeast"/>
        </w:trPr>
        <w:tc>
          <w:tcPr>
            <w:tcW w:w="3936" w:type="dxa"/>
            <w:gridSpan w:val="2"/>
            <w:tcBorders>
              <w:top w:val="single" w:color="auto" w:sz="6" w:space="0"/>
              <w:left w:val="single" w:color="auto" w:sz="6" w:space="0"/>
              <w:bottom w:val="single" w:color="auto" w:sz="6" w:space="0"/>
              <w:right w:val="single" w:color="auto" w:sz="6" w:space="0"/>
            </w:tcBorders>
            <w:vAlign w:val="center"/>
          </w:tcPr>
          <w:p>
            <w:pPr>
              <w:overflowPunct w:val="0"/>
              <w:spacing w:line="400" w:lineRule="exact"/>
              <w:ind w:firstLine="440" w:firstLineChars="200"/>
              <w:jc w:val="center"/>
              <w:rPr>
                <w:kern w:val="0"/>
                <w:sz w:val="22"/>
              </w:rPr>
            </w:pPr>
            <w:r>
              <w:rPr>
                <w:kern w:val="0"/>
                <w:sz w:val="22"/>
              </w:rPr>
              <w:t>环评批复</w:t>
            </w:r>
          </w:p>
        </w:tc>
        <w:tc>
          <w:tcPr>
            <w:tcW w:w="4110" w:type="dxa"/>
            <w:tcBorders>
              <w:top w:val="single" w:color="auto" w:sz="6" w:space="0"/>
              <w:left w:val="single" w:color="auto" w:sz="6" w:space="0"/>
              <w:bottom w:val="single" w:color="auto" w:sz="6" w:space="0"/>
              <w:right w:val="single" w:color="auto" w:sz="6" w:space="0"/>
            </w:tcBorders>
            <w:vAlign w:val="center"/>
          </w:tcPr>
          <w:p>
            <w:pPr>
              <w:overflowPunct w:val="0"/>
              <w:spacing w:line="400" w:lineRule="exact"/>
              <w:ind w:firstLine="440" w:firstLineChars="200"/>
              <w:jc w:val="center"/>
              <w:rPr>
                <w:sz w:val="22"/>
              </w:rPr>
            </w:pPr>
            <w:r>
              <w:rPr>
                <w:sz w:val="22"/>
              </w:rPr>
              <w:t>落实情况</w:t>
            </w:r>
          </w:p>
        </w:tc>
        <w:tc>
          <w:tcPr>
            <w:tcW w:w="993" w:type="dxa"/>
            <w:tcBorders>
              <w:top w:val="single" w:color="auto" w:sz="6" w:space="0"/>
              <w:left w:val="single" w:color="auto" w:sz="6" w:space="0"/>
              <w:bottom w:val="single" w:color="auto" w:sz="6" w:space="0"/>
              <w:right w:val="single" w:color="auto" w:sz="6" w:space="0"/>
            </w:tcBorders>
            <w:vAlign w:val="center"/>
          </w:tcPr>
          <w:p>
            <w:pPr>
              <w:overflowPunct w:val="0"/>
              <w:spacing w:line="240" w:lineRule="auto"/>
              <w:jc w:val="center"/>
              <w:rPr>
                <w:sz w:val="22"/>
              </w:rPr>
            </w:pPr>
            <w:r>
              <w:rPr>
                <w:sz w:val="22"/>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62" w:hRule="atLeast"/>
        </w:trPr>
        <w:tc>
          <w:tcPr>
            <w:tcW w:w="3929" w:type="dxa"/>
            <w:vAlign w:val="center"/>
          </w:tcPr>
          <w:p>
            <w:pPr>
              <w:overflowPunct w:val="0"/>
              <w:spacing w:line="400" w:lineRule="exact"/>
              <w:ind w:firstLine="440" w:firstLineChars="200"/>
              <w:rPr>
                <w:kern w:val="0"/>
                <w:sz w:val="22"/>
              </w:rPr>
            </w:pPr>
            <w:r>
              <w:rPr>
                <w:rFonts w:hint="eastAsia" w:eastAsia="宋体"/>
                <w:kern w:val="0"/>
                <w:sz w:val="22"/>
              </w:rPr>
              <w:t>（四）按照固体废物“资源化、减量化、无害化”处置原则，落实各类固体废物的收集、处置和综合利用措施。一般固废按照报告表提出的处置措施进行处理，满足《一般工业固体废物贮存、处置场污染控制标准》（GB 18599-2001）及修改单要求。危险废物必须委托有资质单位单位处置，必须要按照《危险废物贮存污染控制标准》（GB 18597-2001）及2013修改单的要求做好暂存工作。</w:t>
            </w:r>
          </w:p>
        </w:tc>
        <w:tc>
          <w:tcPr>
            <w:tcW w:w="4117" w:type="dxa"/>
            <w:gridSpan w:val="2"/>
            <w:vAlign w:val="center"/>
          </w:tcPr>
          <w:p>
            <w:pPr>
              <w:overflowPunct w:val="0"/>
              <w:spacing w:line="400" w:lineRule="exact"/>
              <w:ind w:firstLine="440" w:firstLineChars="200"/>
              <w:rPr>
                <w:kern w:val="0"/>
                <w:sz w:val="22"/>
              </w:rPr>
            </w:pPr>
            <w:r>
              <w:rPr>
                <w:rFonts w:hint="eastAsia"/>
                <w:kern w:val="0"/>
                <w:sz w:val="22"/>
              </w:rPr>
              <w:t>该项目</w:t>
            </w:r>
            <w:r>
              <w:rPr>
                <w:bCs/>
                <w:sz w:val="22"/>
              </w:rPr>
              <w:t>布袋除尘器收集的粉尘</w:t>
            </w:r>
            <w:r>
              <w:rPr>
                <w:rFonts w:hint="eastAsia"/>
                <w:bCs/>
                <w:sz w:val="22"/>
              </w:rPr>
              <w:t>收集后外卖综合利用；</w:t>
            </w:r>
            <w:r>
              <w:rPr>
                <w:bCs/>
                <w:sz w:val="22"/>
              </w:rPr>
              <w:t>石膏浆渣</w:t>
            </w:r>
            <w:r>
              <w:rPr>
                <w:rFonts w:hint="eastAsia"/>
                <w:bCs/>
                <w:sz w:val="22"/>
              </w:rPr>
              <w:t>及</w:t>
            </w:r>
            <w:r>
              <w:rPr>
                <w:bCs/>
                <w:sz w:val="22"/>
              </w:rPr>
              <w:t>不合格品</w:t>
            </w:r>
            <w:r>
              <w:rPr>
                <w:rFonts w:hint="eastAsia"/>
                <w:bCs/>
                <w:sz w:val="22"/>
              </w:rPr>
              <w:t>收集后外卖</w:t>
            </w:r>
            <w:r>
              <w:rPr>
                <w:bCs/>
                <w:sz w:val="22"/>
              </w:rPr>
              <w:t>用作建筑材料</w:t>
            </w:r>
            <w:r>
              <w:rPr>
                <w:rFonts w:hint="eastAsia"/>
                <w:bCs/>
                <w:sz w:val="22"/>
              </w:rPr>
              <w:t>，机加工</w:t>
            </w:r>
            <w:r>
              <w:rPr>
                <w:bCs/>
                <w:sz w:val="22"/>
              </w:rPr>
              <w:t>下脚料</w:t>
            </w:r>
            <w:r>
              <w:rPr>
                <w:rFonts w:hint="eastAsia"/>
                <w:bCs/>
                <w:sz w:val="22"/>
              </w:rPr>
              <w:t>、</w:t>
            </w:r>
            <w:r>
              <w:rPr>
                <w:bCs/>
                <w:sz w:val="22"/>
              </w:rPr>
              <w:t>铁屑</w:t>
            </w:r>
            <w:r>
              <w:rPr>
                <w:rFonts w:hint="eastAsia"/>
                <w:bCs/>
                <w:sz w:val="22"/>
              </w:rPr>
              <w:t>，</w:t>
            </w:r>
            <w:r>
              <w:rPr>
                <w:bCs/>
                <w:sz w:val="22"/>
              </w:rPr>
              <w:t>废包装材料收集后外卖废品回收站</w:t>
            </w:r>
            <w:r>
              <w:rPr>
                <w:rFonts w:hint="eastAsia"/>
                <w:bCs/>
                <w:sz w:val="22"/>
              </w:rPr>
              <w:t>；焊渣及生活垃圾</w:t>
            </w:r>
            <w:r>
              <w:rPr>
                <w:bCs/>
                <w:sz w:val="22"/>
              </w:rPr>
              <w:t>收集</w:t>
            </w:r>
            <w:r>
              <w:rPr>
                <w:rFonts w:hint="eastAsia"/>
                <w:bCs/>
                <w:sz w:val="22"/>
              </w:rPr>
              <w:t>后交</w:t>
            </w:r>
            <w:r>
              <w:rPr>
                <w:bCs/>
                <w:sz w:val="22"/>
              </w:rPr>
              <w:t>由环卫部门统一处理</w:t>
            </w:r>
            <w:r>
              <w:rPr>
                <w:rFonts w:hint="eastAsia"/>
                <w:bCs/>
                <w:sz w:val="22"/>
              </w:rPr>
              <w:t>；</w:t>
            </w:r>
            <w:r>
              <w:rPr>
                <w:bCs/>
                <w:sz w:val="22"/>
              </w:rPr>
              <w:t>废胶桶</w:t>
            </w:r>
            <w:r>
              <w:rPr>
                <w:sz w:val="22"/>
              </w:rPr>
              <w:t>由生产厂家负责回收重新利用</w:t>
            </w:r>
            <w:r>
              <w:rPr>
                <w:rFonts w:hint="eastAsia"/>
                <w:sz w:val="22"/>
              </w:rPr>
              <w:t>；</w:t>
            </w:r>
            <w:r>
              <w:rPr>
                <w:rFonts w:hint="eastAsia"/>
                <w:bCs/>
                <w:sz w:val="22"/>
              </w:rPr>
              <w:t>废胶渣、废切削液、</w:t>
            </w:r>
            <w:r>
              <w:rPr>
                <w:bCs/>
                <w:sz w:val="22"/>
              </w:rPr>
              <w:t>废液压油及其包装物</w:t>
            </w:r>
            <w:r>
              <w:rPr>
                <w:rFonts w:hint="eastAsia"/>
                <w:bCs/>
                <w:sz w:val="22"/>
              </w:rPr>
              <w:t>委托有资质的单位处理。</w:t>
            </w:r>
          </w:p>
        </w:tc>
        <w:tc>
          <w:tcPr>
            <w:tcW w:w="993" w:type="dxa"/>
            <w:vAlign w:val="center"/>
          </w:tcPr>
          <w:p>
            <w:pPr>
              <w:overflowPunct w:val="0"/>
              <w:jc w:val="center"/>
              <w:rPr>
                <w:sz w:val="22"/>
              </w:rPr>
            </w:pPr>
            <w:r>
              <w:rPr>
                <w:sz w:val="22"/>
              </w:rPr>
              <w:t>已落实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52" w:hRule="atLeast"/>
        </w:trPr>
        <w:tc>
          <w:tcPr>
            <w:tcW w:w="3929" w:type="dxa"/>
            <w:vAlign w:val="center"/>
          </w:tcPr>
          <w:p>
            <w:pPr>
              <w:overflowPunct w:val="0"/>
              <w:spacing w:line="400" w:lineRule="exact"/>
              <w:ind w:firstLine="440" w:firstLineChars="200"/>
              <w:rPr>
                <w:kern w:val="0"/>
                <w:sz w:val="22"/>
              </w:rPr>
            </w:pPr>
            <w:r>
              <w:rPr>
                <w:rFonts w:hint="eastAsia" w:eastAsia="宋体"/>
                <w:kern w:val="0"/>
                <w:sz w:val="22"/>
              </w:rPr>
              <w:t>（五）报告表确定本项目卫生防护距离为100m，卫生防护距离范围内不得规划建设学校、医院、居住区等敏感性建筑。</w:t>
            </w:r>
          </w:p>
        </w:tc>
        <w:tc>
          <w:tcPr>
            <w:tcW w:w="4117" w:type="dxa"/>
            <w:gridSpan w:val="2"/>
            <w:vAlign w:val="center"/>
          </w:tcPr>
          <w:p>
            <w:pPr>
              <w:overflowPunct w:val="0"/>
              <w:spacing w:line="400" w:lineRule="exact"/>
              <w:ind w:firstLine="440" w:firstLineChars="200"/>
              <w:rPr>
                <w:kern w:val="0"/>
                <w:sz w:val="22"/>
              </w:rPr>
            </w:pPr>
            <w:r>
              <w:rPr>
                <w:rFonts w:hint="eastAsia"/>
                <w:kern w:val="0"/>
                <w:sz w:val="22"/>
              </w:rPr>
              <w:t>经现场调查，该项目东侧、西侧均为企业，北侧为园区道路，南侧为空地，距离该项目最近的敏感目标为距南边界约240m的北白埠子村。该项目</w:t>
            </w:r>
            <w:r>
              <w:rPr>
                <w:rFonts w:hint="eastAsia" w:eastAsia="宋体"/>
                <w:kern w:val="0"/>
                <w:sz w:val="22"/>
              </w:rPr>
              <w:t>100m卫生防护距离范围内未规划建设学校、医院、居住区等敏感性建筑。</w:t>
            </w:r>
          </w:p>
        </w:tc>
        <w:tc>
          <w:tcPr>
            <w:tcW w:w="993" w:type="dxa"/>
            <w:vAlign w:val="center"/>
          </w:tcPr>
          <w:p>
            <w:pPr>
              <w:overflowPunct w:val="0"/>
              <w:jc w:val="center"/>
              <w:rPr>
                <w:sz w:val="22"/>
              </w:rPr>
            </w:pPr>
            <w:r>
              <w:rPr>
                <w:sz w:val="22"/>
              </w:rPr>
              <w:t>已落实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9" w:hRule="atLeast"/>
        </w:trPr>
        <w:tc>
          <w:tcPr>
            <w:tcW w:w="9039" w:type="dxa"/>
            <w:gridSpan w:val="4"/>
          </w:tcPr>
          <w:p>
            <w:pPr>
              <w:overflowPunct w:val="0"/>
              <w:rPr>
                <w:sz w:val="22"/>
              </w:rPr>
            </w:pPr>
            <w:r>
              <w:rPr>
                <w:rFonts w:hint="eastAsia"/>
                <w:sz w:val="22"/>
              </w:rPr>
              <w:t>本页以下空白。</w:t>
            </w:r>
          </w:p>
        </w:tc>
      </w:tr>
    </w:tbl>
    <w:p>
      <w:pPr>
        <w:ind w:firstLine="520"/>
      </w:pPr>
    </w:p>
    <w:p>
      <w:pPr>
        <w:ind w:firstLine="520"/>
        <w:sectPr>
          <w:pgSz w:w="11906" w:h="16838"/>
          <w:pgMar w:top="1440" w:right="1588" w:bottom="1191" w:left="1588" w:header="850" w:footer="992" w:gutter="0"/>
          <w:cols w:space="425" w:num="1"/>
          <w:docGrid w:type="lines" w:linePitch="354" w:charSpace="0"/>
        </w:sectPr>
      </w:pPr>
    </w:p>
    <w:p>
      <w:pPr>
        <w:pStyle w:val="2"/>
        <w:spacing w:before="177" w:after="106"/>
        <w:rPr>
          <w:color w:val="3E3E3E"/>
        </w:rPr>
      </w:pPr>
      <w:bookmarkStart w:id="74" w:name="_Toc499060213"/>
      <w:bookmarkStart w:id="75" w:name="_Toc502699370"/>
      <w:bookmarkStart w:id="76" w:name="_Toc499059476"/>
      <w:r>
        <w:t>6验收执行标准</w:t>
      </w:r>
      <w:bookmarkEnd w:id="74"/>
      <w:bookmarkEnd w:id="75"/>
      <w:bookmarkEnd w:id="76"/>
    </w:p>
    <w:p>
      <w:pPr>
        <w:ind w:firstLine="520"/>
      </w:pPr>
      <w:r>
        <w:t>该项目验收执行标准具体情况见表6-1。</w:t>
      </w:r>
    </w:p>
    <w:p>
      <w:pPr>
        <w:pStyle w:val="49"/>
        <w:spacing w:before="177"/>
      </w:pPr>
      <w:r>
        <w:t>验收执行标准具体情况见表6-1。</w:t>
      </w:r>
    </w:p>
    <w:tbl>
      <w:tblPr>
        <w:tblStyle w:val="47"/>
        <w:tblW w:w="8918" w:type="dxa"/>
        <w:jc w:val="center"/>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658"/>
        <w:gridCol w:w="1982"/>
        <w:gridCol w:w="4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8918" w:type="dxa"/>
            <w:gridSpan w:val="4"/>
            <w:shd w:val="clear" w:color="auto" w:fill="auto"/>
            <w:vAlign w:val="center"/>
          </w:tcPr>
          <w:p>
            <w:pPr>
              <w:widowControl/>
              <w:adjustRightInd/>
              <w:snapToGrid/>
              <w:spacing w:line="240" w:lineRule="auto"/>
              <w:rPr>
                <w:rFonts w:eastAsia="宋体"/>
                <w:b/>
                <w:color w:val="000000"/>
                <w:kern w:val="0"/>
                <w:sz w:val="22"/>
              </w:rPr>
            </w:pPr>
            <w:r>
              <w:rPr>
                <w:rFonts w:eastAsia="宋体"/>
                <w:b/>
                <w:color w:val="000000"/>
                <w:kern w:val="0"/>
                <w:sz w:val="22"/>
              </w:rPr>
              <w:t>一、污染排放执行标准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08"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序号</w:t>
            </w:r>
          </w:p>
        </w:tc>
        <w:tc>
          <w:tcPr>
            <w:tcW w:w="1658"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污染源</w:t>
            </w:r>
          </w:p>
        </w:tc>
        <w:tc>
          <w:tcPr>
            <w:tcW w:w="1982"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污染物种类</w:t>
            </w:r>
          </w:p>
        </w:tc>
        <w:tc>
          <w:tcPr>
            <w:tcW w:w="4570" w:type="dxa"/>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708"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1</w:t>
            </w:r>
          </w:p>
        </w:tc>
        <w:tc>
          <w:tcPr>
            <w:tcW w:w="1658"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贴面工序废气排气筒</w:t>
            </w:r>
          </w:p>
        </w:tc>
        <w:tc>
          <w:tcPr>
            <w:tcW w:w="1982"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非甲烷总烃</w:t>
            </w:r>
          </w:p>
        </w:tc>
        <w:tc>
          <w:tcPr>
            <w:tcW w:w="4570" w:type="dxa"/>
            <w:vAlign w:val="center"/>
          </w:tcPr>
          <w:p>
            <w:pPr>
              <w:pStyle w:val="50"/>
              <w:spacing w:before="70"/>
              <w:jc w:val="both"/>
              <w:rPr>
                <w:szCs w:val="22"/>
              </w:rPr>
            </w:pPr>
            <w:r>
              <w:rPr>
                <w:szCs w:val="22"/>
              </w:rPr>
              <w:t>《大气污染物综合排放标准》（GB 16297-1996）表2</w:t>
            </w:r>
            <w:r>
              <w:rPr>
                <w:rFonts w:hint="eastAsia"/>
                <w:szCs w:val="22"/>
              </w:rPr>
              <w:t>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708"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2</w:t>
            </w:r>
          </w:p>
        </w:tc>
        <w:tc>
          <w:tcPr>
            <w:tcW w:w="1658" w:type="dxa"/>
            <w:shd w:val="clear" w:color="auto" w:fill="auto"/>
            <w:vAlign w:val="center"/>
          </w:tcPr>
          <w:p>
            <w:pPr>
              <w:widowControl/>
              <w:adjustRightInd/>
              <w:snapToGrid/>
              <w:spacing w:line="240" w:lineRule="auto"/>
              <w:jc w:val="center"/>
              <w:rPr>
                <w:rFonts w:eastAsia="宋体"/>
                <w:color w:val="000000"/>
                <w:kern w:val="0"/>
                <w:sz w:val="22"/>
              </w:rPr>
            </w:pPr>
            <w:r>
              <w:rPr>
                <w:rFonts w:hint="eastAsia"/>
                <w:kern w:val="0"/>
                <w:sz w:val="22"/>
              </w:rPr>
              <w:t>切割工序废气排气筒</w:t>
            </w:r>
          </w:p>
        </w:tc>
        <w:tc>
          <w:tcPr>
            <w:tcW w:w="1982"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颗粒物</w:t>
            </w:r>
          </w:p>
        </w:tc>
        <w:tc>
          <w:tcPr>
            <w:tcW w:w="4570" w:type="dxa"/>
            <w:vAlign w:val="center"/>
          </w:tcPr>
          <w:p>
            <w:pPr>
              <w:pStyle w:val="50"/>
              <w:spacing w:before="70"/>
              <w:jc w:val="both"/>
              <w:rPr>
                <w:szCs w:val="22"/>
              </w:rPr>
            </w:pPr>
            <w:r>
              <w:rPr>
                <w:rFonts w:hint="eastAsia"/>
                <w:szCs w:val="22"/>
              </w:rPr>
              <w:t>《山东省区域性大气污染物综合排放标准》表2“重点控制区”限值要求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708"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3</w:t>
            </w:r>
          </w:p>
        </w:tc>
        <w:tc>
          <w:tcPr>
            <w:tcW w:w="1658"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无组织</w:t>
            </w:r>
          </w:p>
        </w:tc>
        <w:tc>
          <w:tcPr>
            <w:tcW w:w="1982"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颗粒物</w:t>
            </w:r>
            <w:r>
              <w:rPr>
                <w:rFonts w:hint="eastAsia" w:eastAsia="宋体"/>
                <w:color w:val="000000"/>
                <w:kern w:val="0"/>
                <w:sz w:val="22"/>
              </w:rPr>
              <w:t>、非甲烷总烃</w:t>
            </w:r>
          </w:p>
        </w:tc>
        <w:tc>
          <w:tcPr>
            <w:tcW w:w="4570" w:type="dxa"/>
            <w:vAlign w:val="center"/>
          </w:tcPr>
          <w:p>
            <w:pPr>
              <w:pStyle w:val="50"/>
              <w:spacing w:before="70"/>
              <w:jc w:val="both"/>
              <w:rPr>
                <w:color w:val="000000"/>
                <w:kern w:val="0"/>
                <w:szCs w:val="22"/>
              </w:rPr>
            </w:pPr>
            <w:r>
              <w:rPr>
                <w:szCs w:val="22"/>
              </w:rPr>
              <w:t>《大气污染物综合排放标准》（GB 16297-1996）表2</w:t>
            </w:r>
            <w:r>
              <w:rPr>
                <w:rFonts w:hint="eastAsia"/>
                <w:szCs w:val="22"/>
              </w:rPr>
              <w:t>无组织排放监控浓度限值要求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7" w:hRule="atLeast"/>
          <w:jc w:val="center"/>
        </w:trPr>
        <w:tc>
          <w:tcPr>
            <w:tcW w:w="708"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4</w:t>
            </w:r>
          </w:p>
        </w:tc>
        <w:tc>
          <w:tcPr>
            <w:tcW w:w="1658"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厂界噪声</w:t>
            </w:r>
          </w:p>
        </w:tc>
        <w:tc>
          <w:tcPr>
            <w:tcW w:w="1982" w:type="dxa"/>
            <w:shd w:val="clear" w:color="auto" w:fill="auto"/>
            <w:vAlign w:val="center"/>
          </w:tcPr>
          <w:p>
            <w:pPr>
              <w:pStyle w:val="50"/>
              <w:spacing w:before="70"/>
              <w:rPr>
                <w:szCs w:val="22"/>
              </w:rPr>
            </w:pPr>
            <w:r>
              <w:rPr>
                <w:color w:val="000000"/>
                <w:kern w:val="0"/>
                <w:szCs w:val="22"/>
              </w:rPr>
              <w:t>厂界噪声</w:t>
            </w:r>
          </w:p>
        </w:tc>
        <w:tc>
          <w:tcPr>
            <w:tcW w:w="4570" w:type="dxa"/>
            <w:vAlign w:val="center"/>
          </w:tcPr>
          <w:p>
            <w:pPr>
              <w:pStyle w:val="50"/>
              <w:spacing w:before="70"/>
              <w:jc w:val="both"/>
              <w:rPr>
                <w:szCs w:val="22"/>
              </w:rPr>
            </w:pPr>
            <w:r>
              <w:rPr>
                <w:szCs w:val="22"/>
              </w:rPr>
              <w:t>《工业企业厂界环境噪声排放标准》（GB</w:t>
            </w:r>
            <w:r>
              <w:rPr>
                <w:rFonts w:hint="eastAsia"/>
                <w:szCs w:val="22"/>
              </w:rPr>
              <w:t xml:space="preserve"> </w:t>
            </w:r>
            <w:r>
              <w:rPr>
                <w:szCs w:val="22"/>
              </w:rPr>
              <w:t>12348-2008）2类功能区标准要求</w:t>
            </w:r>
          </w:p>
        </w:tc>
      </w:tr>
    </w:tbl>
    <w:p>
      <w:pPr>
        <w:widowControl/>
        <w:shd w:val="clear" w:color="auto" w:fill="FFFFFF"/>
        <w:spacing w:line="384" w:lineRule="atLeast"/>
        <w:rPr>
          <w:color w:val="3E3E3E"/>
          <w:kern w:val="0"/>
          <w:sz w:val="24"/>
          <w:szCs w:val="24"/>
        </w:rPr>
      </w:pPr>
    </w:p>
    <w:p>
      <w:pPr>
        <w:widowControl/>
        <w:shd w:val="clear" w:color="auto" w:fill="FFFFFF"/>
        <w:spacing w:line="384" w:lineRule="atLeast"/>
        <w:ind w:firstLine="480"/>
        <w:rPr>
          <w:color w:val="3E3E3E"/>
          <w:kern w:val="0"/>
          <w:sz w:val="24"/>
          <w:szCs w:val="24"/>
        </w:rPr>
      </w:pPr>
    </w:p>
    <w:p>
      <w:pPr>
        <w:widowControl/>
        <w:shd w:val="clear" w:color="auto" w:fill="FFFFFF"/>
        <w:spacing w:line="384" w:lineRule="atLeast"/>
        <w:ind w:firstLine="480"/>
        <w:rPr>
          <w:color w:val="3E3E3E"/>
          <w:kern w:val="0"/>
          <w:sz w:val="24"/>
          <w:szCs w:val="24"/>
        </w:rPr>
      </w:pPr>
    </w:p>
    <w:p>
      <w:pPr>
        <w:widowControl/>
        <w:shd w:val="clear" w:color="auto" w:fill="FFFFFF"/>
        <w:spacing w:line="384" w:lineRule="atLeast"/>
        <w:ind w:firstLine="480"/>
        <w:rPr>
          <w:color w:val="3E3E3E"/>
          <w:kern w:val="0"/>
          <w:sz w:val="24"/>
          <w:szCs w:val="24"/>
        </w:rPr>
      </w:pPr>
    </w:p>
    <w:p>
      <w:pPr>
        <w:widowControl/>
        <w:shd w:val="clear" w:color="auto" w:fill="FFFFFF"/>
        <w:spacing w:line="384" w:lineRule="atLeast"/>
        <w:ind w:firstLine="480"/>
        <w:rPr>
          <w:color w:val="3E3E3E"/>
          <w:kern w:val="0"/>
          <w:sz w:val="24"/>
          <w:szCs w:val="24"/>
        </w:rPr>
      </w:pPr>
    </w:p>
    <w:p>
      <w:pPr>
        <w:widowControl/>
        <w:shd w:val="clear" w:color="auto" w:fill="FFFFFF"/>
        <w:spacing w:line="384" w:lineRule="atLeast"/>
        <w:ind w:firstLine="480"/>
        <w:rPr>
          <w:color w:val="3E3E3E"/>
          <w:kern w:val="0"/>
          <w:sz w:val="24"/>
          <w:szCs w:val="24"/>
        </w:rPr>
      </w:pPr>
    </w:p>
    <w:p>
      <w:pPr>
        <w:widowControl/>
        <w:shd w:val="clear" w:color="auto" w:fill="FFFFFF"/>
        <w:spacing w:line="384" w:lineRule="atLeast"/>
        <w:ind w:firstLine="480"/>
        <w:rPr>
          <w:color w:val="3E3E3E"/>
          <w:kern w:val="0"/>
          <w:sz w:val="24"/>
          <w:szCs w:val="24"/>
        </w:rPr>
      </w:pPr>
    </w:p>
    <w:p>
      <w:pPr>
        <w:widowControl/>
        <w:shd w:val="clear" w:color="auto" w:fill="FFFFFF"/>
        <w:spacing w:line="384" w:lineRule="atLeast"/>
        <w:ind w:firstLine="480"/>
        <w:rPr>
          <w:color w:val="3E3E3E"/>
          <w:kern w:val="0"/>
          <w:sz w:val="24"/>
          <w:szCs w:val="24"/>
        </w:rPr>
      </w:pPr>
    </w:p>
    <w:p>
      <w:pPr>
        <w:widowControl/>
        <w:shd w:val="clear" w:color="auto" w:fill="FFFFFF"/>
        <w:spacing w:line="384" w:lineRule="atLeast"/>
        <w:ind w:firstLine="480"/>
        <w:rPr>
          <w:color w:val="3E3E3E"/>
          <w:kern w:val="0"/>
          <w:sz w:val="24"/>
          <w:szCs w:val="24"/>
        </w:rPr>
      </w:pPr>
    </w:p>
    <w:p>
      <w:pPr>
        <w:widowControl/>
        <w:shd w:val="clear" w:color="auto" w:fill="FFFFFF"/>
        <w:spacing w:line="384" w:lineRule="atLeast"/>
        <w:ind w:firstLine="480"/>
        <w:rPr>
          <w:color w:val="3E3E3E"/>
          <w:kern w:val="0"/>
          <w:sz w:val="24"/>
          <w:szCs w:val="24"/>
        </w:rPr>
      </w:pPr>
    </w:p>
    <w:p>
      <w:pPr>
        <w:widowControl/>
        <w:shd w:val="clear" w:color="auto" w:fill="FFFFFF"/>
        <w:spacing w:line="384" w:lineRule="atLeast"/>
        <w:ind w:firstLine="480"/>
        <w:rPr>
          <w:color w:val="000000"/>
          <w:kern w:val="0"/>
          <w:sz w:val="24"/>
          <w:szCs w:val="24"/>
        </w:rPr>
      </w:pPr>
    </w:p>
    <w:p>
      <w:pPr>
        <w:widowControl/>
        <w:shd w:val="clear" w:color="auto" w:fill="FFFFFF"/>
        <w:spacing w:line="384" w:lineRule="atLeast"/>
        <w:ind w:firstLine="480"/>
        <w:rPr>
          <w:color w:val="000000"/>
          <w:kern w:val="0"/>
          <w:sz w:val="24"/>
          <w:szCs w:val="24"/>
        </w:rPr>
      </w:pPr>
    </w:p>
    <w:p>
      <w:pPr>
        <w:widowControl/>
        <w:shd w:val="clear" w:color="auto" w:fill="FFFFFF"/>
        <w:spacing w:line="384" w:lineRule="atLeast"/>
        <w:ind w:firstLine="480"/>
        <w:rPr>
          <w:color w:val="000000"/>
          <w:kern w:val="0"/>
          <w:sz w:val="24"/>
          <w:szCs w:val="24"/>
        </w:rPr>
      </w:pPr>
    </w:p>
    <w:p>
      <w:pPr>
        <w:widowControl/>
        <w:shd w:val="clear" w:color="auto" w:fill="FFFFFF"/>
        <w:spacing w:line="384" w:lineRule="atLeast"/>
        <w:ind w:firstLine="480"/>
        <w:rPr>
          <w:color w:val="000000"/>
          <w:kern w:val="0"/>
          <w:sz w:val="24"/>
          <w:szCs w:val="24"/>
        </w:rPr>
      </w:pPr>
    </w:p>
    <w:p>
      <w:pPr>
        <w:widowControl/>
        <w:shd w:val="clear" w:color="auto" w:fill="FFFFFF"/>
        <w:spacing w:line="384" w:lineRule="atLeast"/>
        <w:ind w:firstLine="480"/>
        <w:rPr>
          <w:color w:val="000000"/>
          <w:kern w:val="0"/>
          <w:sz w:val="24"/>
          <w:szCs w:val="24"/>
        </w:rPr>
        <w:sectPr>
          <w:pgSz w:w="11906" w:h="16838"/>
          <w:pgMar w:top="1440" w:right="1588" w:bottom="1191" w:left="1588" w:header="850" w:footer="992" w:gutter="0"/>
          <w:cols w:space="425" w:num="1"/>
          <w:docGrid w:type="lines" w:linePitch="354" w:charSpace="0"/>
        </w:sectPr>
      </w:pPr>
    </w:p>
    <w:p>
      <w:pPr>
        <w:pStyle w:val="2"/>
        <w:spacing w:before="177" w:after="106"/>
        <w:rPr>
          <w:color w:val="3E3E3E"/>
        </w:rPr>
      </w:pPr>
      <w:bookmarkStart w:id="77" w:name="_Toc499059477"/>
      <w:bookmarkStart w:id="78" w:name="_Toc499060214"/>
      <w:bookmarkStart w:id="79" w:name="_Toc502699371"/>
      <w:r>
        <w:t>7 验收监测内容</w:t>
      </w:r>
      <w:bookmarkEnd w:id="77"/>
      <w:bookmarkEnd w:id="78"/>
      <w:bookmarkEnd w:id="79"/>
    </w:p>
    <w:p>
      <w:pPr>
        <w:pStyle w:val="3"/>
        <w:spacing w:before="70" w:after="70"/>
        <w:rPr>
          <w:color w:val="3E3E3E"/>
        </w:rPr>
      </w:pPr>
      <w:bookmarkStart w:id="80" w:name="_Toc499059478"/>
      <w:bookmarkStart w:id="81" w:name="_Toc499060215"/>
      <w:bookmarkStart w:id="82" w:name="_Toc502699372"/>
      <w:r>
        <w:t>7.1环境保护设施调试效果</w:t>
      </w:r>
      <w:bookmarkEnd w:id="80"/>
      <w:bookmarkEnd w:id="81"/>
      <w:bookmarkEnd w:id="82"/>
    </w:p>
    <w:p>
      <w:pPr>
        <w:widowControl/>
        <w:shd w:val="clear" w:color="auto" w:fill="FFFFFF"/>
        <w:rPr>
          <w:color w:val="3E3E3E"/>
          <w:kern w:val="0"/>
          <w:szCs w:val="26"/>
        </w:rPr>
      </w:pPr>
      <w:r>
        <w:rPr>
          <w:rFonts w:hint="eastAsia"/>
          <w:color w:val="000000"/>
          <w:kern w:val="0"/>
          <w:szCs w:val="26"/>
        </w:rPr>
        <w:t xml:space="preserve">    </w:t>
      </w:r>
      <w:r>
        <w:rPr>
          <w:color w:val="000000"/>
          <w:kern w:val="0"/>
          <w:szCs w:val="26"/>
        </w:rPr>
        <w:t>具体监测内容如下：</w:t>
      </w:r>
    </w:p>
    <w:p>
      <w:pPr>
        <w:pStyle w:val="4"/>
        <w:spacing w:before="70"/>
        <w:rPr>
          <w:color w:val="3E3E3E"/>
        </w:rPr>
      </w:pPr>
      <w:bookmarkStart w:id="83" w:name="_Toc499059479"/>
      <w:bookmarkStart w:id="84" w:name="_Toc499060216"/>
      <w:r>
        <w:t>7.1.</w:t>
      </w:r>
      <w:r>
        <w:rPr>
          <w:rFonts w:hint="eastAsia"/>
        </w:rPr>
        <w:t>1</w:t>
      </w:r>
      <w:r>
        <w:t>废气</w:t>
      </w:r>
      <w:bookmarkEnd w:id="83"/>
      <w:bookmarkEnd w:id="84"/>
    </w:p>
    <w:p>
      <w:pPr>
        <w:pStyle w:val="5"/>
        <w:ind w:firstLine="560"/>
        <w:rPr>
          <w:color w:val="3E3E3E"/>
        </w:rPr>
      </w:pPr>
      <w:r>
        <w:rPr>
          <w:rFonts w:hint="eastAsia"/>
        </w:rPr>
        <w:t>（1）有组织</w:t>
      </w:r>
      <w:r>
        <w:t>排放</w:t>
      </w:r>
    </w:p>
    <w:p>
      <w:pPr>
        <w:pStyle w:val="5"/>
        <w:ind w:firstLine="199" w:firstLineChars="83"/>
        <w:jc w:val="center"/>
        <w:rPr>
          <w:rFonts w:asciiTheme="minorEastAsia" w:hAnsiTheme="minorEastAsia" w:eastAsiaTheme="minorEastAsia"/>
          <w:color w:val="000000"/>
          <w:kern w:val="0"/>
          <w:sz w:val="24"/>
          <w:szCs w:val="26"/>
        </w:rPr>
      </w:pPr>
      <w:r>
        <w:rPr>
          <w:rFonts w:hint="eastAsia" w:asciiTheme="minorEastAsia" w:hAnsiTheme="minorEastAsia" w:eastAsiaTheme="minorEastAsia"/>
          <w:color w:val="000000"/>
          <w:kern w:val="0"/>
          <w:sz w:val="24"/>
          <w:szCs w:val="26"/>
        </w:rPr>
        <w:t>有组织</w:t>
      </w:r>
      <w:r>
        <w:rPr>
          <w:rFonts w:asciiTheme="minorEastAsia" w:hAnsiTheme="minorEastAsia" w:eastAsiaTheme="minorEastAsia"/>
          <w:color w:val="000000"/>
          <w:kern w:val="0"/>
          <w:sz w:val="24"/>
          <w:szCs w:val="26"/>
        </w:rPr>
        <w:t>废气监测点位、项目及频次一览表</w:t>
      </w:r>
    </w:p>
    <w:tbl>
      <w:tblPr>
        <w:tblStyle w:val="47"/>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3968"/>
        <w:gridCol w:w="2410"/>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18"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编号</w:t>
            </w:r>
          </w:p>
        </w:tc>
        <w:tc>
          <w:tcPr>
            <w:tcW w:w="3968"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监测点位</w:t>
            </w:r>
          </w:p>
        </w:tc>
        <w:tc>
          <w:tcPr>
            <w:tcW w:w="2410"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监测项目</w:t>
            </w:r>
          </w:p>
        </w:tc>
        <w:tc>
          <w:tcPr>
            <w:tcW w:w="1750"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818"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1#</w:t>
            </w:r>
          </w:p>
        </w:tc>
        <w:tc>
          <w:tcPr>
            <w:tcW w:w="3968"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贴面工序废气排气筒处理前、处理后</w:t>
            </w:r>
          </w:p>
        </w:tc>
        <w:tc>
          <w:tcPr>
            <w:tcW w:w="2410"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非甲烷总烃</w:t>
            </w:r>
          </w:p>
        </w:tc>
        <w:tc>
          <w:tcPr>
            <w:tcW w:w="1750" w:type="dxa"/>
            <w:vMerge w:val="restart"/>
            <w:shd w:val="clear" w:color="auto" w:fill="auto"/>
            <w:vAlign w:val="center"/>
          </w:tcPr>
          <w:p>
            <w:pPr>
              <w:jc w:val="center"/>
              <w:rPr>
                <w:rFonts w:eastAsia="宋体"/>
                <w:color w:val="000000"/>
                <w:kern w:val="0"/>
                <w:sz w:val="22"/>
              </w:rPr>
            </w:pPr>
            <w:r>
              <w:rPr>
                <w:rFonts w:eastAsia="宋体"/>
                <w:color w:val="000000"/>
                <w:kern w:val="0"/>
                <w:sz w:val="22"/>
              </w:rPr>
              <w:t>监测2天，</w:t>
            </w:r>
          </w:p>
          <w:p>
            <w:pPr>
              <w:jc w:val="center"/>
              <w:rPr>
                <w:rFonts w:eastAsia="宋体"/>
                <w:color w:val="000000"/>
                <w:kern w:val="0"/>
                <w:sz w:val="22"/>
              </w:rPr>
            </w:pPr>
            <w:r>
              <w:rPr>
                <w:rFonts w:eastAsia="宋体"/>
                <w:color w:val="000000"/>
                <w:kern w:val="0"/>
                <w:sz w:val="22"/>
              </w:rPr>
              <w:t>每天</w:t>
            </w:r>
            <w:r>
              <w:rPr>
                <w:rFonts w:hint="eastAsia" w:eastAsia="宋体"/>
                <w:color w:val="000000"/>
                <w:kern w:val="0"/>
                <w:sz w:val="22"/>
              </w:rPr>
              <w:t>3</w:t>
            </w:r>
            <w:r>
              <w:rPr>
                <w:rFonts w:eastAsia="宋体"/>
                <w:color w:val="000000"/>
                <w:kern w:val="0"/>
                <w:sz w:val="22"/>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818" w:type="dxa"/>
            <w:shd w:val="clear" w:color="auto" w:fill="auto"/>
            <w:vAlign w:val="center"/>
          </w:tcPr>
          <w:p>
            <w:pPr>
              <w:widowControl/>
              <w:adjustRightInd/>
              <w:snapToGrid/>
              <w:spacing w:line="240" w:lineRule="auto"/>
              <w:jc w:val="center"/>
              <w:rPr>
                <w:rFonts w:eastAsia="宋体"/>
                <w:color w:val="000000"/>
                <w:kern w:val="0"/>
                <w:sz w:val="22"/>
              </w:rPr>
            </w:pPr>
            <w:r>
              <w:rPr>
                <w:rFonts w:hint="eastAsia" w:eastAsia="宋体"/>
                <w:color w:val="000000"/>
                <w:kern w:val="0"/>
                <w:sz w:val="22"/>
              </w:rPr>
              <w:t>2</w:t>
            </w:r>
            <w:r>
              <w:rPr>
                <w:rFonts w:eastAsia="宋体"/>
                <w:color w:val="000000"/>
                <w:kern w:val="0"/>
                <w:sz w:val="22"/>
              </w:rPr>
              <w:t>#</w:t>
            </w:r>
          </w:p>
        </w:tc>
        <w:tc>
          <w:tcPr>
            <w:tcW w:w="3968" w:type="dxa"/>
            <w:shd w:val="clear" w:color="auto" w:fill="auto"/>
            <w:vAlign w:val="center"/>
          </w:tcPr>
          <w:p>
            <w:pPr>
              <w:widowControl/>
              <w:adjustRightInd/>
              <w:snapToGrid/>
              <w:spacing w:line="240" w:lineRule="auto"/>
              <w:jc w:val="center"/>
              <w:rPr>
                <w:rFonts w:eastAsia="宋体"/>
                <w:color w:val="000000"/>
                <w:kern w:val="0"/>
                <w:sz w:val="22"/>
              </w:rPr>
            </w:pPr>
            <w:r>
              <w:rPr>
                <w:rFonts w:hint="eastAsia"/>
                <w:kern w:val="0"/>
                <w:sz w:val="22"/>
              </w:rPr>
              <w:t>切割工序废气排气筒处理前、处理后</w:t>
            </w:r>
          </w:p>
        </w:tc>
        <w:tc>
          <w:tcPr>
            <w:tcW w:w="2410" w:type="dxa"/>
            <w:shd w:val="clear" w:color="auto" w:fill="auto"/>
            <w:vAlign w:val="center"/>
          </w:tcPr>
          <w:p>
            <w:pPr>
              <w:widowControl/>
              <w:adjustRightInd/>
              <w:snapToGrid/>
              <w:spacing w:line="240" w:lineRule="auto"/>
              <w:jc w:val="center"/>
              <w:rPr>
                <w:rFonts w:eastAsia="宋体"/>
                <w:color w:val="000000"/>
                <w:kern w:val="0"/>
                <w:sz w:val="24"/>
                <w:szCs w:val="24"/>
              </w:rPr>
            </w:pPr>
            <w:r>
              <w:rPr>
                <w:rFonts w:hint="eastAsia" w:eastAsia="宋体"/>
                <w:color w:val="000000"/>
                <w:kern w:val="0"/>
                <w:sz w:val="22"/>
              </w:rPr>
              <w:t>颗粒物</w:t>
            </w:r>
          </w:p>
        </w:tc>
        <w:tc>
          <w:tcPr>
            <w:tcW w:w="1750" w:type="dxa"/>
            <w:vMerge w:val="continue"/>
            <w:shd w:val="clear" w:color="auto" w:fill="auto"/>
            <w:vAlign w:val="center"/>
          </w:tcPr>
          <w:p>
            <w:pPr>
              <w:ind w:firstLine="440"/>
              <w:jc w:val="center"/>
              <w:rPr>
                <w:rFonts w:eastAsia="宋体"/>
                <w:color w:val="000000"/>
                <w:kern w:val="0"/>
                <w:sz w:val="22"/>
              </w:rPr>
            </w:pPr>
          </w:p>
        </w:tc>
      </w:tr>
    </w:tbl>
    <w:p>
      <w:pPr>
        <w:pStyle w:val="5"/>
        <w:ind w:firstLine="560"/>
        <w:rPr>
          <w:color w:val="3E3E3E"/>
        </w:rPr>
      </w:pPr>
      <w:r>
        <w:rPr>
          <w:rFonts w:hint="eastAsia"/>
        </w:rPr>
        <w:t>（2）</w:t>
      </w:r>
      <w:r>
        <w:t>无组织排放</w:t>
      </w:r>
    </w:p>
    <w:p>
      <w:pPr>
        <w:widowControl/>
        <w:shd w:val="clear" w:color="auto" w:fill="FFFFFF"/>
        <w:jc w:val="center"/>
        <w:rPr>
          <w:color w:val="000000"/>
          <w:kern w:val="0"/>
          <w:sz w:val="24"/>
          <w:szCs w:val="26"/>
        </w:rPr>
      </w:pPr>
      <w:r>
        <w:rPr>
          <w:rFonts w:hint="eastAsia"/>
          <w:color w:val="000000"/>
          <w:kern w:val="0"/>
          <w:sz w:val="24"/>
          <w:szCs w:val="26"/>
        </w:rPr>
        <w:t>无</w:t>
      </w:r>
      <w:r>
        <w:rPr>
          <w:color w:val="000000"/>
          <w:kern w:val="0"/>
          <w:sz w:val="24"/>
          <w:szCs w:val="26"/>
        </w:rPr>
        <w:t>组织废气监测点位、项目及频次一览表</w:t>
      </w:r>
    </w:p>
    <w:tbl>
      <w:tblPr>
        <w:tblStyle w:val="47"/>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3260"/>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959"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编号</w:t>
            </w:r>
          </w:p>
        </w:tc>
        <w:tc>
          <w:tcPr>
            <w:tcW w:w="2551"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监测点位</w:t>
            </w:r>
          </w:p>
        </w:tc>
        <w:tc>
          <w:tcPr>
            <w:tcW w:w="3260"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监测项目</w:t>
            </w:r>
          </w:p>
        </w:tc>
        <w:tc>
          <w:tcPr>
            <w:tcW w:w="2176"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959"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1#</w:t>
            </w:r>
          </w:p>
        </w:tc>
        <w:tc>
          <w:tcPr>
            <w:tcW w:w="2551"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厂界上风向（参照点）</w:t>
            </w:r>
          </w:p>
        </w:tc>
        <w:tc>
          <w:tcPr>
            <w:tcW w:w="3260" w:type="dxa"/>
            <w:vMerge w:val="restart"/>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颗粒物</w:t>
            </w:r>
            <w:r>
              <w:rPr>
                <w:rFonts w:hint="eastAsia" w:eastAsia="宋体"/>
                <w:color w:val="000000"/>
                <w:kern w:val="0"/>
                <w:sz w:val="22"/>
              </w:rPr>
              <w:t>，非甲烷总烃，</w:t>
            </w:r>
          </w:p>
          <w:p>
            <w:pPr>
              <w:widowControl/>
              <w:adjustRightInd/>
              <w:snapToGrid/>
              <w:spacing w:line="240" w:lineRule="auto"/>
              <w:jc w:val="center"/>
              <w:rPr>
                <w:rFonts w:eastAsia="宋体"/>
                <w:color w:val="000000"/>
                <w:kern w:val="0"/>
                <w:sz w:val="22"/>
              </w:rPr>
            </w:pPr>
            <w:r>
              <w:rPr>
                <w:rFonts w:eastAsia="宋体"/>
                <w:color w:val="000000"/>
                <w:kern w:val="0"/>
                <w:sz w:val="22"/>
              </w:rPr>
              <w:t>同步记录气温、气压、风向、风速、云量等气象参数</w:t>
            </w:r>
          </w:p>
        </w:tc>
        <w:tc>
          <w:tcPr>
            <w:tcW w:w="2176" w:type="dxa"/>
            <w:vMerge w:val="restart"/>
            <w:shd w:val="clear" w:color="auto" w:fill="auto"/>
            <w:vAlign w:val="center"/>
          </w:tcPr>
          <w:p>
            <w:pPr>
              <w:rPr>
                <w:rFonts w:eastAsia="宋体"/>
                <w:color w:val="000000"/>
                <w:kern w:val="0"/>
                <w:sz w:val="22"/>
              </w:rPr>
            </w:pPr>
            <w:r>
              <w:rPr>
                <w:rFonts w:eastAsia="宋体"/>
                <w:color w:val="000000"/>
                <w:kern w:val="0"/>
                <w:sz w:val="22"/>
              </w:rPr>
              <w:t>监测2天，每天</w:t>
            </w:r>
            <w:r>
              <w:rPr>
                <w:rFonts w:hint="eastAsia" w:eastAsia="宋体"/>
                <w:color w:val="000000"/>
                <w:kern w:val="0"/>
                <w:sz w:val="22"/>
              </w:rPr>
              <w:t>3</w:t>
            </w:r>
            <w:r>
              <w:rPr>
                <w:rFonts w:eastAsia="宋体"/>
                <w:color w:val="000000"/>
                <w:kern w:val="0"/>
                <w:sz w:val="22"/>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959"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2#</w:t>
            </w:r>
            <w:r>
              <w:rPr>
                <w:rFonts w:hint="eastAsia" w:eastAsia="宋体"/>
                <w:color w:val="000000"/>
                <w:kern w:val="0"/>
                <w:sz w:val="22"/>
              </w:rPr>
              <w:t>~4#</w:t>
            </w:r>
          </w:p>
        </w:tc>
        <w:tc>
          <w:tcPr>
            <w:tcW w:w="2551"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厂界下风向</w:t>
            </w:r>
            <w:r>
              <w:rPr>
                <w:rFonts w:hint="eastAsia" w:eastAsia="宋体"/>
                <w:color w:val="000000"/>
                <w:kern w:val="0"/>
                <w:sz w:val="22"/>
              </w:rPr>
              <w:t>3个监控点</w:t>
            </w:r>
          </w:p>
        </w:tc>
        <w:tc>
          <w:tcPr>
            <w:tcW w:w="3260" w:type="dxa"/>
            <w:vMerge w:val="continue"/>
            <w:shd w:val="clear" w:color="auto" w:fill="auto"/>
            <w:vAlign w:val="center"/>
          </w:tcPr>
          <w:p>
            <w:pPr>
              <w:widowControl/>
              <w:adjustRightInd/>
              <w:snapToGrid/>
              <w:spacing w:line="240" w:lineRule="auto"/>
              <w:jc w:val="center"/>
              <w:rPr>
                <w:rFonts w:eastAsia="宋体"/>
                <w:color w:val="000000"/>
                <w:kern w:val="0"/>
                <w:sz w:val="24"/>
                <w:szCs w:val="24"/>
              </w:rPr>
            </w:pPr>
          </w:p>
        </w:tc>
        <w:tc>
          <w:tcPr>
            <w:tcW w:w="2176" w:type="dxa"/>
            <w:vMerge w:val="continue"/>
            <w:shd w:val="clear" w:color="auto" w:fill="auto"/>
            <w:vAlign w:val="center"/>
          </w:tcPr>
          <w:p>
            <w:pPr>
              <w:ind w:firstLine="440"/>
              <w:jc w:val="center"/>
              <w:rPr>
                <w:rFonts w:eastAsia="宋体"/>
                <w:color w:val="000000"/>
                <w:kern w:val="0"/>
                <w:sz w:val="22"/>
              </w:rPr>
            </w:pPr>
          </w:p>
        </w:tc>
      </w:tr>
    </w:tbl>
    <w:p>
      <w:pPr>
        <w:pStyle w:val="4"/>
        <w:spacing w:before="70"/>
        <w:rPr>
          <w:color w:val="3E3E3E"/>
        </w:rPr>
      </w:pPr>
      <w:bookmarkStart w:id="85" w:name="_Toc499059480"/>
      <w:bookmarkStart w:id="86" w:name="_Toc499060217"/>
      <w:r>
        <w:t>7.1.</w:t>
      </w:r>
      <w:r>
        <w:rPr>
          <w:rFonts w:hint="eastAsia"/>
        </w:rPr>
        <w:t xml:space="preserve">2 </w:t>
      </w:r>
      <w:r>
        <w:t>厂界噪声</w:t>
      </w:r>
      <w:bookmarkEnd w:id="85"/>
      <w:bookmarkEnd w:id="86"/>
    </w:p>
    <w:p>
      <w:pPr>
        <w:widowControl/>
        <w:shd w:val="clear" w:color="auto" w:fill="FFFFFF"/>
        <w:jc w:val="center"/>
        <w:rPr>
          <w:color w:val="000000"/>
          <w:kern w:val="0"/>
          <w:sz w:val="24"/>
          <w:szCs w:val="26"/>
        </w:rPr>
      </w:pPr>
      <w:r>
        <w:rPr>
          <w:color w:val="000000"/>
          <w:kern w:val="0"/>
          <w:sz w:val="24"/>
          <w:szCs w:val="26"/>
        </w:rPr>
        <w:t>噪声监测点位及频次一览表</w:t>
      </w:r>
    </w:p>
    <w:tbl>
      <w:tblPr>
        <w:tblStyle w:val="47"/>
        <w:tblW w:w="8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3407"/>
        <w:gridCol w:w="2413"/>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962"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编号</w:t>
            </w:r>
          </w:p>
        </w:tc>
        <w:tc>
          <w:tcPr>
            <w:tcW w:w="3407"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监测点位</w:t>
            </w:r>
          </w:p>
        </w:tc>
        <w:tc>
          <w:tcPr>
            <w:tcW w:w="2413"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监测项目</w:t>
            </w:r>
          </w:p>
        </w:tc>
        <w:tc>
          <w:tcPr>
            <w:tcW w:w="2180"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962"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1#</w:t>
            </w:r>
            <w:r>
              <w:rPr>
                <w:rFonts w:hint="eastAsia" w:eastAsia="宋体"/>
                <w:color w:val="000000"/>
                <w:kern w:val="0"/>
                <w:sz w:val="22"/>
              </w:rPr>
              <w:t>-4#</w:t>
            </w:r>
          </w:p>
        </w:tc>
        <w:tc>
          <w:tcPr>
            <w:tcW w:w="3407"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东</w:t>
            </w:r>
            <w:r>
              <w:rPr>
                <w:rFonts w:hint="eastAsia" w:eastAsia="宋体"/>
                <w:color w:val="000000"/>
                <w:kern w:val="0"/>
                <w:sz w:val="22"/>
              </w:rPr>
              <w:t>、南、西、北四侧</w:t>
            </w:r>
            <w:r>
              <w:rPr>
                <w:rFonts w:eastAsia="宋体"/>
                <w:color w:val="000000"/>
                <w:kern w:val="0"/>
                <w:sz w:val="22"/>
              </w:rPr>
              <w:t>厂界外1米</w:t>
            </w:r>
          </w:p>
        </w:tc>
        <w:tc>
          <w:tcPr>
            <w:tcW w:w="2413" w:type="dxa"/>
            <w:shd w:val="clear" w:color="auto" w:fill="auto"/>
            <w:vAlign w:val="center"/>
          </w:tcPr>
          <w:p>
            <w:pPr>
              <w:widowControl/>
              <w:adjustRightInd/>
              <w:snapToGrid/>
              <w:spacing w:line="240" w:lineRule="auto"/>
              <w:jc w:val="center"/>
              <w:rPr>
                <w:rFonts w:eastAsia="宋体"/>
                <w:color w:val="000000"/>
                <w:kern w:val="0"/>
                <w:sz w:val="22"/>
              </w:rPr>
            </w:pPr>
            <w:r>
              <w:rPr>
                <w:rFonts w:eastAsia="宋体"/>
                <w:color w:val="000000"/>
                <w:kern w:val="0"/>
                <w:sz w:val="22"/>
              </w:rPr>
              <w:t>L</w:t>
            </w:r>
            <w:r>
              <w:rPr>
                <w:rFonts w:hint="eastAsia" w:eastAsia="宋体"/>
                <w:color w:val="000000"/>
                <w:kern w:val="0"/>
                <w:sz w:val="22"/>
              </w:rPr>
              <w:t>e</w:t>
            </w:r>
            <w:r>
              <w:rPr>
                <w:rFonts w:eastAsia="宋体"/>
                <w:color w:val="000000"/>
                <w:kern w:val="0"/>
                <w:sz w:val="22"/>
              </w:rPr>
              <w:t>q</w:t>
            </w:r>
          </w:p>
        </w:tc>
        <w:tc>
          <w:tcPr>
            <w:tcW w:w="2180" w:type="dxa"/>
            <w:shd w:val="clear" w:color="auto" w:fill="auto"/>
            <w:vAlign w:val="center"/>
          </w:tcPr>
          <w:p>
            <w:pPr>
              <w:spacing w:line="240" w:lineRule="auto"/>
              <w:jc w:val="center"/>
              <w:rPr>
                <w:rFonts w:eastAsia="宋体"/>
                <w:color w:val="000000"/>
                <w:kern w:val="0"/>
                <w:sz w:val="22"/>
              </w:rPr>
            </w:pPr>
            <w:r>
              <w:rPr>
                <w:rFonts w:eastAsia="宋体"/>
                <w:color w:val="000000"/>
                <w:kern w:val="0"/>
                <w:sz w:val="22"/>
              </w:rPr>
              <w:t>监测2天，</w:t>
            </w:r>
          </w:p>
          <w:p>
            <w:pPr>
              <w:spacing w:line="240" w:lineRule="auto"/>
              <w:jc w:val="center"/>
              <w:rPr>
                <w:rFonts w:eastAsia="宋体"/>
                <w:color w:val="000000"/>
                <w:kern w:val="0"/>
                <w:sz w:val="22"/>
              </w:rPr>
            </w:pPr>
            <w:r>
              <w:rPr>
                <w:rFonts w:eastAsia="宋体"/>
                <w:color w:val="000000"/>
                <w:kern w:val="0"/>
                <w:sz w:val="22"/>
              </w:rPr>
              <w:t>昼夜各监测1次</w:t>
            </w:r>
          </w:p>
        </w:tc>
      </w:tr>
    </w:tbl>
    <w:p>
      <w:pPr>
        <w:pStyle w:val="2"/>
        <w:spacing w:before="177" w:after="106"/>
        <w:sectPr>
          <w:pgSz w:w="11906" w:h="16838"/>
          <w:pgMar w:top="1440" w:right="1588" w:bottom="1191" w:left="1588" w:header="850" w:footer="992" w:gutter="0"/>
          <w:cols w:space="425" w:num="1"/>
          <w:docGrid w:type="lines" w:linePitch="354" w:charSpace="0"/>
        </w:sectPr>
      </w:pPr>
      <w:bookmarkStart w:id="87" w:name="_Toc499059481"/>
      <w:bookmarkStart w:id="88" w:name="_Toc499060218"/>
    </w:p>
    <w:p>
      <w:pPr>
        <w:pStyle w:val="4"/>
        <w:spacing w:beforeLines="0" w:line="240" w:lineRule="auto"/>
      </w:pPr>
      <w:r>
        <w:pict>
          <v:rect id="_x0000_s1363" o:spid="_x0000_s1363" o:spt="1" style="position:absolute;left:0pt;margin-left:630.15pt;margin-top:7.5pt;height:21.75pt;width:19.5pt;z-index:251730944;mso-width-relative:page;mso-height-relative:page;" stroked="f" coordsize="21600,21600">
            <v:path/>
            <v:fill focussize="0,0"/>
            <v:stroke on="f"/>
            <v:imagedata o:title=""/>
            <o:lock v:ext="edit"/>
            <v:textbox>
              <w:txbxContent>
                <w:p>
                  <w:pPr>
                    <w:rPr>
                      <w:sz w:val="22"/>
                    </w:rPr>
                  </w:pPr>
                  <w:r>
                    <w:rPr>
                      <w:rFonts w:hint="eastAsia"/>
                      <w:sz w:val="22"/>
                    </w:rPr>
                    <w:t>N</w:t>
                  </w:r>
                </w:p>
              </w:txbxContent>
            </v:textbox>
          </v:rect>
        </w:pict>
      </w:r>
      <w:r>
        <w:rPr>
          <w:color w:val="3E3E3E"/>
          <w:sz w:val="18"/>
          <w:szCs w:val="18"/>
        </w:rPr>
        <w:pict>
          <v:shape id="_x0000_s1362" o:spid="_x0000_s1362" o:spt="32" type="#_x0000_t32" style="position:absolute;left:0pt;flip:y;margin-left:618.9pt;margin-top:7.5pt;height:41.25pt;width:0pt;z-index:251729920;mso-width-relative:page;mso-height-relative:page;" o:connectortype="straight" filled="f" coordsize="21600,21600">
            <v:path arrowok="t"/>
            <v:fill on="f" focussize="0,0"/>
            <v:stroke endarrow="block"/>
            <v:imagedata o:title=""/>
            <o:lock v:ext="edit"/>
          </v:shape>
        </w:pict>
      </w:r>
      <w:r>
        <w:rPr>
          <w:color w:val="3E3E3E"/>
          <w:sz w:val="18"/>
          <w:szCs w:val="18"/>
        </w:rPr>
        <w:pict>
          <v:rect id="_x0000_s1355" o:spid="_x0000_s1355" o:spt="1" style="position:absolute;left:0pt;margin-left:325.6pt;margin-top:17.25pt;height:21.75pt;width:45.8pt;z-index:251726848;mso-width-relative:page;mso-height-relative:page;" stroked="f" coordsize="21600,21600">
            <v:path/>
            <v:fill focussize="0,0"/>
            <v:stroke on="f" color="#EEECE1"/>
            <v:imagedata o:title=""/>
            <o:lock v:ext="edit"/>
            <v:textbox>
              <w:txbxContent>
                <w:p>
                  <w:r>
                    <w:rPr>
                      <w:rFonts w:hint="eastAsia"/>
                    </w:rPr>
                    <w:t>▲4#</w:t>
                  </w:r>
                </w:p>
              </w:txbxContent>
            </v:textbox>
          </v:rect>
        </w:pict>
      </w:r>
      <w:r>
        <w:rPr>
          <w:color w:val="3E3E3E"/>
          <w:sz w:val="18"/>
          <w:szCs w:val="18"/>
        </w:rPr>
        <w:pict>
          <v:rect id="_x0000_s1346" o:spid="_x0000_s1346" o:spt="1" style="position:absolute;left:0pt;flip:y;margin-left:367.35pt;margin-top:7.5pt;height:23.7pt;width:45.15pt;z-index:251717632;mso-width-relative:page;mso-height-relative:page;" stroked="t" coordsize="21600,21600">
            <v:path/>
            <v:fill opacity="0f" focussize="0,0"/>
            <v:stroke color="#FFFFFF"/>
            <v:imagedata o:title=""/>
            <o:lock v:ext="edit"/>
            <v:textbox>
              <w:txbxContent>
                <w:p>
                  <w:pPr>
                    <w:rPr>
                      <w:sz w:val="21"/>
                      <w:szCs w:val="21"/>
                    </w:rPr>
                  </w:pPr>
                  <w:r>
                    <w:rPr>
                      <w:rFonts w:hint="eastAsia"/>
                      <w:sz w:val="21"/>
                      <w:szCs w:val="21"/>
                    </w:rPr>
                    <w:t>3</w:t>
                  </w:r>
                  <w:r>
                    <w:rPr>
                      <w:sz w:val="21"/>
                      <w:szCs w:val="21"/>
                    </w:rPr>
                    <w:t>#</w:t>
                  </w:r>
                  <w:r>
                    <w:rPr>
                      <w:rFonts w:hint="eastAsia" w:ascii="宋体" w:hAnsi="宋体"/>
                      <w:sz w:val="21"/>
                      <w:szCs w:val="21"/>
                    </w:rPr>
                    <w:t>○</w:t>
                  </w:r>
                </w:p>
              </w:txbxContent>
            </v:textbox>
          </v:rect>
        </w:pict>
      </w:r>
      <w:r>
        <w:rPr>
          <w:color w:val="3E3E3E"/>
        </w:rPr>
        <w:pict>
          <v:rect id="_x0000_s1347" o:spid="_x0000_s1347" o:spt="1" style="position:absolute;left:0pt;flip:y;margin-left:491.25pt;margin-top:7.5pt;height:23.7pt;width:45.15pt;z-index:251718656;mso-width-relative:page;mso-height-relative:page;" stroked="t" coordsize="21600,21600">
            <v:path/>
            <v:fill opacity="0f" focussize="0,0"/>
            <v:stroke color="#FFFFFF"/>
            <v:imagedata o:title=""/>
            <o:lock v:ext="edit"/>
            <v:textbox>
              <w:txbxContent>
                <w:p>
                  <w:pPr>
                    <w:rPr>
                      <w:sz w:val="21"/>
                      <w:szCs w:val="21"/>
                    </w:rPr>
                  </w:pPr>
                  <w:r>
                    <w:rPr>
                      <w:rFonts w:hint="eastAsia" w:ascii="宋体" w:hAnsi="宋体"/>
                      <w:sz w:val="21"/>
                      <w:szCs w:val="21"/>
                    </w:rPr>
                    <w:t>○4</w:t>
                  </w:r>
                  <w:r>
                    <w:rPr>
                      <w:sz w:val="21"/>
                      <w:szCs w:val="21"/>
                    </w:rPr>
                    <w:t>#</w:t>
                  </w:r>
                </w:p>
              </w:txbxContent>
            </v:textbox>
          </v:rect>
        </w:pict>
      </w:r>
      <w:r>
        <w:rPr>
          <w:color w:val="3E3E3E"/>
          <w:sz w:val="18"/>
          <w:szCs w:val="18"/>
        </w:rPr>
        <w:pict>
          <v:rect id="_x0000_s1345" o:spid="_x0000_s1345" o:spt="1" style="position:absolute;left:0pt;flip:y;margin-left:252.75pt;margin-top:7.5pt;height:23.7pt;width:45.15pt;z-index:251716608;mso-width-relative:page;mso-height-relative:page;" stroked="t" coordsize="21600,21600">
            <v:path/>
            <v:fill opacity="0f" focussize="0,0"/>
            <v:stroke color="#FFFFFF"/>
            <v:imagedata o:title=""/>
            <o:lock v:ext="edit"/>
            <v:textbox>
              <w:txbxContent>
                <w:p>
                  <w:pPr>
                    <w:rPr>
                      <w:sz w:val="21"/>
                      <w:szCs w:val="21"/>
                    </w:rPr>
                  </w:pPr>
                  <w:r>
                    <w:rPr>
                      <w:rFonts w:hint="eastAsia"/>
                      <w:sz w:val="21"/>
                      <w:szCs w:val="21"/>
                    </w:rPr>
                    <w:t>2</w:t>
                  </w:r>
                  <w:r>
                    <w:rPr>
                      <w:sz w:val="21"/>
                      <w:szCs w:val="21"/>
                    </w:rPr>
                    <w:t>#</w:t>
                  </w:r>
                  <w:r>
                    <w:rPr>
                      <w:rFonts w:hint="eastAsia" w:ascii="宋体" w:hAnsi="宋体"/>
                      <w:sz w:val="21"/>
                      <w:szCs w:val="21"/>
                    </w:rPr>
                    <w:t>○</w:t>
                  </w:r>
                </w:p>
              </w:txbxContent>
            </v:textbox>
          </v:rect>
        </w:pict>
      </w:r>
      <w:r>
        <w:t>7.1.</w:t>
      </w:r>
      <w:r>
        <w:rPr>
          <w:rFonts w:hint="eastAsia"/>
        </w:rPr>
        <w:t>3 监测点位图示</w:t>
      </w:r>
    </w:p>
    <w:p>
      <w:pPr>
        <w:pStyle w:val="4"/>
        <w:spacing w:beforeLines="0" w:line="240" w:lineRule="auto"/>
        <w:jc w:val="center"/>
        <w:rPr>
          <w:color w:val="3E3E3E"/>
        </w:rPr>
      </w:pPr>
      <w:r>
        <w:rPr>
          <w:color w:val="3E3E3E"/>
        </w:rPr>
        <w:pict>
          <v:shape id="_x0000_s1364" o:spid="_x0000_s1364" o:spt="32" type="#_x0000_t32" style="position:absolute;left:0pt;margin-left:607.65pt;margin-top:9.8pt;height:0pt;width:24pt;z-index:251731968;mso-width-relative:page;mso-height-relative:page;" o:connectortype="straight" filled="f" coordsize="21600,21600">
            <v:path arrowok="t"/>
            <v:fill on="f" focussize="0,0"/>
            <v:stroke/>
            <v:imagedata o:title=""/>
            <o:lock v:ext="edit"/>
          </v:shape>
        </w:pict>
      </w:r>
    </w:p>
    <w:p>
      <w:pPr>
        <w:pStyle w:val="4"/>
        <w:spacing w:beforeLines="0" w:line="240" w:lineRule="auto"/>
        <w:jc w:val="center"/>
        <w:rPr>
          <w:color w:val="3E3E3E"/>
        </w:rPr>
      </w:pPr>
      <w:r>
        <w:pict>
          <v:rect id="_x0000_s1365" o:spid="_x0000_s1365" o:spt="1" style="position:absolute;left:0pt;margin-left:589.65pt;margin-top:19.55pt;height:21.75pt;width:68.25pt;z-index:251732992;mso-width-relative:page;mso-height-relative:page;" stroked="f" coordsize="21600,21600">
            <v:path/>
            <v:fill focussize="0,0"/>
            <v:stroke on="f"/>
            <v:imagedata o:title=""/>
            <o:lock v:ext="edit"/>
            <v:textbox>
              <w:txbxContent>
                <w:p>
                  <w:pPr>
                    <w:rPr>
                      <w:sz w:val="22"/>
                    </w:rPr>
                  </w:pPr>
                  <w:r>
                    <w:rPr>
                      <w:rFonts w:hint="eastAsia"/>
                      <w:sz w:val="22"/>
                    </w:rPr>
                    <w:t>风向：南风</w:t>
                  </w:r>
                </w:p>
              </w:txbxContent>
            </v:textbox>
          </v:rect>
        </w:pict>
      </w:r>
      <w:r>
        <w:rPr>
          <w:color w:val="3E3E3E"/>
          <w:sz w:val="18"/>
          <w:szCs w:val="18"/>
        </w:rPr>
        <w:pict>
          <v:rect id="_x0000_s1348" o:spid="_x0000_s1348" o:spt="1" style="position:absolute;left:0pt;flip:y;margin-left:122.45pt;margin-top:365pt;height:23.7pt;width:383.95pt;z-index:251719680;mso-width-relative:page;mso-height-relative:page;" stroked="t" coordsize="21600,21600">
            <v:path/>
            <v:fill opacity="0f" focussize="0,0"/>
            <v:stroke color="#FFFFFF"/>
            <v:imagedata o:title=""/>
            <o:lock v:ext="edit"/>
            <v:textbox>
              <w:txbxContent>
                <w:p>
                  <w:pPr>
                    <w:rPr>
                      <w:rFonts w:ascii="Calibri" w:hAnsi="Calibri"/>
                    </w:rPr>
                  </w:pPr>
                  <w:r>
                    <w:rPr>
                      <w:rFonts w:hint="eastAsia" w:ascii="宋体" w:hAnsi="宋体"/>
                      <w:sz w:val="22"/>
                    </w:rPr>
                    <w:t>备注：○为</w:t>
                  </w:r>
                  <w:r>
                    <w:rPr>
                      <w:rFonts w:hint="eastAsia" w:ascii="Calibri" w:hAnsi="Calibri"/>
                      <w:sz w:val="22"/>
                    </w:rPr>
                    <w:t>无组织监测点位，◎为固定源监测</w:t>
                  </w:r>
                  <w:r>
                    <w:rPr>
                      <w:rFonts w:hint="eastAsia" w:ascii="Calibri" w:hAnsi="Calibri"/>
                    </w:rPr>
                    <w:t>点位，</w:t>
                  </w:r>
                  <w:r>
                    <w:rPr>
                      <w:rFonts w:hint="eastAsia"/>
                    </w:rPr>
                    <w:t>▲为噪声监测点位。</w:t>
                  </w:r>
                </w:p>
              </w:txbxContent>
            </v:textbox>
          </v:rect>
        </w:pict>
      </w:r>
      <w:r>
        <w:pict>
          <v:rect id="_x0000_s1354" o:spid="_x0000_s1354" o:spt="1" style="position:absolute;left:0pt;margin-left:106.65pt;margin-top:153.05pt;height:21.75pt;width:50.25pt;z-index:251725824;mso-width-relative:page;mso-height-relative:page;" stroked="f" coordsize="21600,21600">
            <v:path/>
            <v:fill focussize="0,0"/>
            <v:stroke on="f" color="#EEECE1"/>
            <v:imagedata o:title=""/>
            <o:lock v:ext="edit"/>
            <v:textbox>
              <w:txbxContent>
                <w:p>
                  <w:r>
                    <w:rPr>
                      <w:rFonts w:hint="eastAsia"/>
                    </w:rPr>
                    <w:t>3#▲</w:t>
                  </w:r>
                </w:p>
              </w:txbxContent>
            </v:textbox>
          </v:rect>
        </w:pict>
      </w:r>
      <w:r>
        <w:pict>
          <v:rect id="_x0000_s1353" o:spid="_x0000_s1353" o:spt="1" style="position:absolute;left:0pt;margin-left:324.9pt;margin-top:317.3pt;height:21.75pt;width:45.65pt;z-index:251724800;mso-width-relative:page;mso-height-relative:page;" stroked="f" coordsize="21600,21600">
            <v:path/>
            <v:fill focussize="0,0"/>
            <v:stroke on="f" color="#EEECE1"/>
            <v:imagedata o:title=""/>
            <o:lock v:ext="edit"/>
            <v:textbox>
              <w:txbxContent>
                <w:p>
                  <w:r>
                    <w:rPr>
                      <w:rFonts w:hint="eastAsia"/>
                    </w:rPr>
                    <w:t>▲2#</w:t>
                  </w:r>
                </w:p>
              </w:txbxContent>
            </v:textbox>
          </v:rect>
        </w:pict>
      </w:r>
      <w:r>
        <w:pict>
          <v:rect id="_x0000_s1352" o:spid="_x0000_s1352" o:spt="1" style="position:absolute;left:0pt;margin-left:569.8pt;margin-top:212.3pt;height:21.75pt;width:49.1pt;z-index:251723776;mso-width-relative:page;mso-height-relative:page;" stroked="f" coordsize="21600,21600">
            <v:path/>
            <v:fill focussize="0,0"/>
            <v:stroke on="f" color="#EEECE1"/>
            <v:imagedata o:title=""/>
            <o:lock v:ext="edit"/>
            <v:textbox>
              <w:txbxContent>
                <w:p>
                  <w:r>
                    <w:rPr>
                      <w:rFonts w:hint="eastAsia"/>
                    </w:rPr>
                    <w:t>▲1#</w:t>
                  </w:r>
                </w:p>
              </w:txbxContent>
            </v:textbox>
          </v:rect>
        </w:pict>
      </w:r>
      <w:r>
        <w:rPr>
          <w:color w:val="3E3E3E"/>
          <w:sz w:val="18"/>
          <w:szCs w:val="18"/>
        </w:rPr>
        <w:pict>
          <v:rect id="_x0000_s1344" o:spid="_x0000_s1344" o:spt="1" style="position:absolute;left:0pt;flip:y;margin-left:324.9pt;margin-top:338.3pt;height:23.7pt;width:45.15pt;z-index:251715584;mso-width-relative:page;mso-height-relative:page;" stroked="t" coordsize="21600,21600">
            <v:path/>
            <v:fill opacity="0f" focussize="0,0"/>
            <v:stroke color="#FFFFFF"/>
            <v:imagedata o:title=""/>
            <o:lock v:ext="edit"/>
            <v:textbox>
              <w:txbxContent>
                <w:p>
                  <w:pPr>
                    <w:rPr>
                      <w:sz w:val="21"/>
                      <w:szCs w:val="21"/>
                    </w:rPr>
                  </w:pPr>
                  <w:r>
                    <w:rPr>
                      <w:sz w:val="21"/>
                      <w:szCs w:val="21"/>
                    </w:rPr>
                    <w:t>1#</w:t>
                  </w:r>
                  <w:r>
                    <w:rPr>
                      <w:rFonts w:hint="eastAsia" w:ascii="宋体" w:hAnsi="宋体"/>
                      <w:sz w:val="21"/>
                      <w:szCs w:val="21"/>
                    </w:rPr>
                    <w:t>○</w:t>
                  </w:r>
                </w:p>
              </w:txbxContent>
            </v:textbox>
          </v:rect>
        </w:pict>
      </w:r>
      <w:r>
        <w:rPr>
          <w:color w:val="3E3E3E"/>
          <w:sz w:val="18"/>
          <w:szCs w:val="18"/>
        </w:rPr>
        <w:pict>
          <v:rect id="_x0000_s1342" o:spid="_x0000_s1342" o:spt="1" style="position:absolute;left:0pt;margin-left:170.4pt;margin-top:133.55pt;height:24.75pt;width:35.25pt;z-index:251714560;mso-width-relative:page;mso-height-relative:page;" filled="f" stroked="f" coordsize="21600,21600">
            <v:path/>
            <v:fill on="f" focussize="0,0"/>
            <v:stroke on="f"/>
            <v:imagedata o:title=""/>
            <o:lock v:ext="edit"/>
            <v:textbox>
              <w:txbxContent>
                <w:p>
                  <w:pPr>
                    <w:spacing w:line="180" w:lineRule="exact"/>
                    <w:rPr>
                      <w:color w:val="3E3E3E"/>
                      <w:sz w:val="18"/>
                      <w:szCs w:val="18"/>
                    </w:rPr>
                  </w:pPr>
                  <w:r>
                    <w:rPr>
                      <w:rFonts w:hint="eastAsia"/>
                      <w:color w:val="3E3E3E"/>
                      <w:sz w:val="18"/>
                      <w:szCs w:val="18"/>
                    </w:rPr>
                    <w:t>2#◎</w:t>
                  </w:r>
                </w:p>
                <w:p>
                  <w:pPr>
                    <w:spacing w:line="180" w:lineRule="exact"/>
                    <w:rPr>
                      <w:color w:val="3E3E3E"/>
                      <w:sz w:val="18"/>
                      <w:szCs w:val="18"/>
                    </w:rPr>
                  </w:pPr>
                  <w:r>
                    <w:rPr>
                      <w:rFonts w:hint="eastAsia"/>
                      <w:color w:val="3E3E3E"/>
                      <w:sz w:val="18"/>
                      <w:szCs w:val="18"/>
                    </w:rPr>
                    <w:t>1#◎</w:t>
                  </w:r>
                </w:p>
                <w:p/>
              </w:txbxContent>
            </v:textbox>
          </v:rect>
        </w:pict>
      </w:r>
      <w:r>
        <w:rPr>
          <w:color w:val="3E3E3E"/>
        </w:rPr>
        <w:drawing>
          <wp:inline distT="0" distB="0" distL="0" distR="0">
            <wp:extent cx="5808980" cy="4117340"/>
            <wp:effectExtent l="19050" t="0" r="762" b="0"/>
            <wp:docPr id="6" name="图片 1"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未标题-2.jpg"/>
                    <pic:cNvPicPr>
                      <a:picLocks noChangeAspect="1"/>
                    </pic:cNvPicPr>
                  </pic:nvPicPr>
                  <pic:blipFill>
                    <a:blip r:embed="rId42" cstate="print"/>
                    <a:stretch>
                      <a:fillRect/>
                    </a:stretch>
                  </pic:blipFill>
                  <pic:spPr>
                    <a:xfrm>
                      <a:off x="0" y="0"/>
                      <a:ext cx="5809488" cy="4117848"/>
                    </a:xfrm>
                    <a:prstGeom prst="rect">
                      <a:avLst/>
                    </a:prstGeom>
                  </pic:spPr>
                </pic:pic>
              </a:graphicData>
            </a:graphic>
          </wp:inline>
        </w:drawing>
      </w:r>
    </w:p>
    <w:p>
      <w:pPr>
        <w:pStyle w:val="2"/>
        <w:spacing w:before="177" w:after="106"/>
        <w:sectPr>
          <w:footerReference r:id="rId27" w:type="default"/>
          <w:pgSz w:w="16838" w:h="11906" w:orient="landscape"/>
          <w:pgMar w:top="1440" w:right="1797" w:bottom="1327" w:left="1797" w:header="907" w:footer="907" w:gutter="0"/>
          <w:cols w:space="425" w:num="1"/>
          <w:docGrid w:type="lines" w:linePitch="354" w:charSpace="0"/>
        </w:sectPr>
      </w:pPr>
    </w:p>
    <w:p>
      <w:pPr>
        <w:pStyle w:val="2"/>
        <w:spacing w:before="177" w:after="106"/>
        <w:rPr>
          <w:color w:val="3E3E3E"/>
        </w:rPr>
      </w:pPr>
      <w:bookmarkStart w:id="89" w:name="_Toc502699373"/>
      <w:r>
        <w:t>8质量保证及质量控制</w:t>
      </w:r>
      <w:bookmarkEnd w:id="87"/>
      <w:bookmarkEnd w:id="88"/>
      <w:bookmarkEnd w:id="89"/>
    </w:p>
    <w:p>
      <w:pPr>
        <w:pStyle w:val="3"/>
        <w:spacing w:before="70" w:after="70"/>
      </w:pPr>
      <w:bookmarkStart w:id="90" w:name="_Toc499060219"/>
      <w:bookmarkStart w:id="91" w:name="_Toc502699374"/>
      <w:bookmarkStart w:id="92" w:name="_Toc499059482"/>
      <w:r>
        <w:t>8.1监测分析方法</w:t>
      </w:r>
      <w:bookmarkEnd w:id="90"/>
      <w:bookmarkEnd w:id="91"/>
      <w:bookmarkEnd w:id="92"/>
    </w:p>
    <w:p>
      <w:pPr>
        <w:pStyle w:val="49"/>
        <w:spacing w:before="177"/>
      </w:pPr>
      <w:r>
        <w:t>表</w:t>
      </w:r>
      <w:r>
        <w:rPr>
          <w:rFonts w:hint="eastAsia"/>
        </w:rPr>
        <w:t>8.1</w:t>
      </w:r>
      <w:r>
        <w:t>-</w:t>
      </w:r>
      <w:r>
        <w:rPr>
          <w:rFonts w:hint="eastAsia"/>
        </w:rPr>
        <w:t>1 有组织</w:t>
      </w:r>
      <w:r>
        <w:t>废气监测分析方法</w:t>
      </w:r>
    </w:p>
    <w:tbl>
      <w:tblPr>
        <w:tblStyle w:val="48"/>
        <w:tblW w:w="872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992"/>
        <w:gridCol w:w="1849"/>
        <w:gridCol w:w="2417"/>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995" w:type="dxa"/>
            <w:vAlign w:val="center"/>
          </w:tcPr>
          <w:p>
            <w:pPr>
              <w:spacing w:line="240" w:lineRule="auto"/>
              <w:jc w:val="center"/>
              <w:rPr>
                <w:sz w:val="22"/>
              </w:rPr>
            </w:pPr>
            <w:r>
              <w:rPr>
                <w:sz w:val="22"/>
              </w:rPr>
              <w:t>序号</w:t>
            </w:r>
          </w:p>
        </w:tc>
        <w:tc>
          <w:tcPr>
            <w:tcW w:w="1992" w:type="dxa"/>
            <w:vAlign w:val="center"/>
          </w:tcPr>
          <w:p>
            <w:pPr>
              <w:spacing w:line="240" w:lineRule="auto"/>
              <w:jc w:val="center"/>
              <w:rPr>
                <w:sz w:val="22"/>
              </w:rPr>
            </w:pPr>
            <w:r>
              <w:rPr>
                <w:sz w:val="22"/>
              </w:rPr>
              <w:t>项目</w:t>
            </w:r>
          </w:p>
        </w:tc>
        <w:tc>
          <w:tcPr>
            <w:tcW w:w="1849" w:type="dxa"/>
            <w:vAlign w:val="center"/>
          </w:tcPr>
          <w:p>
            <w:pPr>
              <w:spacing w:line="240" w:lineRule="auto"/>
              <w:jc w:val="center"/>
              <w:rPr>
                <w:sz w:val="22"/>
              </w:rPr>
            </w:pPr>
            <w:r>
              <w:rPr>
                <w:sz w:val="22"/>
              </w:rPr>
              <w:t>检测方法</w:t>
            </w:r>
          </w:p>
        </w:tc>
        <w:tc>
          <w:tcPr>
            <w:tcW w:w="2417" w:type="dxa"/>
            <w:vAlign w:val="center"/>
          </w:tcPr>
          <w:p>
            <w:pPr>
              <w:spacing w:line="240" w:lineRule="auto"/>
              <w:jc w:val="center"/>
              <w:rPr>
                <w:sz w:val="22"/>
              </w:rPr>
            </w:pPr>
            <w:r>
              <w:rPr>
                <w:sz w:val="22"/>
              </w:rPr>
              <w:t>方法依据</w:t>
            </w:r>
          </w:p>
        </w:tc>
        <w:tc>
          <w:tcPr>
            <w:tcW w:w="1472" w:type="dxa"/>
            <w:vAlign w:val="center"/>
          </w:tcPr>
          <w:p>
            <w:pPr>
              <w:spacing w:line="240" w:lineRule="auto"/>
              <w:jc w:val="center"/>
              <w:rPr>
                <w:sz w:val="22"/>
              </w:rPr>
            </w:pPr>
            <w:r>
              <w:rPr>
                <w:sz w:val="22"/>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995" w:type="dxa"/>
            <w:vAlign w:val="center"/>
          </w:tcPr>
          <w:p>
            <w:pPr>
              <w:spacing w:line="240" w:lineRule="auto"/>
              <w:jc w:val="center"/>
              <w:rPr>
                <w:sz w:val="22"/>
              </w:rPr>
            </w:pPr>
            <w:r>
              <w:rPr>
                <w:sz w:val="22"/>
              </w:rPr>
              <w:t>1</w:t>
            </w:r>
          </w:p>
        </w:tc>
        <w:tc>
          <w:tcPr>
            <w:tcW w:w="1992" w:type="dxa"/>
            <w:vAlign w:val="center"/>
          </w:tcPr>
          <w:p>
            <w:pPr>
              <w:spacing w:line="240" w:lineRule="auto"/>
              <w:jc w:val="center"/>
              <w:rPr>
                <w:sz w:val="22"/>
              </w:rPr>
            </w:pPr>
            <w:r>
              <w:rPr>
                <w:rFonts w:hint="eastAsia"/>
                <w:sz w:val="22"/>
              </w:rPr>
              <w:t>非甲烷总烃</w:t>
            </w:r>
          </w:p>
        </w:tc>
        <w:tc>
          <w:tcPr>
            <w:tcW w:w="1849" w:type="dxa"/>
            <w:vAlign w:val="center"/>
          </w:tcPr>
          <w:p>
            <w:pPr>
              <w:spacing w:line="240" w:lineRule="auto"/>
              <w:jc w:val="center"/>
              <w:rPr>
                <w:sz w:val="22"/>
              </w:rPr>
            </w:pPr>
            <w:r>
              <w:rPr>
                <w:rFonts w:hint="eastAsia"/>
                <w:sz w:val="22"/>
              </w:rPr>
              <w:t>气相色谱法</w:t>
            </w:r>
          </w:p>
        </w:tc>
        <w:tc>
          <w:tcPr>
            <w:tcW w:w="2417" w:type="dxa"/>
            <w:vAlign w:val="center"/>
          </w:tcPr>
          <w:p>
            <w:pPr>
              <w:spacing w:line="240" w:lineRule="auto"/>
              <w:jc w:val="center"/>
              <w:rPr>
                <w:sz w:val="22"/>
              </w:rPr>
            </w:pPr>
            <w:r>
              <w:rPr>
                <w:sz w:val="22"/>
              </w:rPr>
              <w:t>HJ/T 38-1999</w:t>
            </w:r>
          </w:p>
        </w:tc>
        <w:tc>
          <w:tcPr>
            <w:tcW w:w="1472" w:type="dxa"/>
            <w:vAlign w:val="center"/>
          </w:tcPr>
          <w:p>
            <w:pPr>
              <w:spacing w:line="240" w:lineRule="auto"/>
              <w:rPr>
                <w:sz w:val="22"/>
              </w:rPr>
            </w:pPr>
            <w:r>
              <w:rPr>
                <w:sz w:val="22"/>
              </w:rPr>
              <w:t>0.04 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995" w:type="dxa"/>
            <w:vAlign w:val="center"/>
          </w:tcPr>
          <w:p>
            <w:pPr>
              <w:spacing w:line="240" w:lineRule="auto"/>
              <w:jc w:val="center"/>
              <w:rPr>
                <w:sz w:val="22"/>
              </w:rPr>
            </w:pPr>
            <w:r>
              <w:rPr>
                <w:rFonts w:hint="eastAsia"/>
                <w:sz w:val="22"/>
              </w:rPr>
              <w:t>2</w:t>
            </w:r>
          </w:p>
        </w:tc>
        <w:tc>
          <w:tcPr>
            <w:tcW w:w="1992" w:type="dxa"/>
            <w:vAlign w:val="center"/>
          </w:tcPr>
          <w:p>
            <w:pPr>
              <w:spacing w:line="240" w:lineRule="auto"/>
              <w:jc w:val="center"/>
              <w:rPr>
                <w:sz w:val="22"/>
              </w:rPr>
            </w:pPr>
            <w:r>
              <w:rPr>
                <w:rFonts w:hint="eastAsia"/>
                <w:sz w:val="22"/>
              </w:rPr>
              <w:t>颗粒物</w:t>
            </w:r>
          </w:p>
        </w:tc>
        <w:tc>
          <w:tcPr>
            <w:tcW w:w="1849" w:type="dxa"/>
            <w:vAlign w:val="center"/>
          </w:tcPr>
          <w:p>
            <w:pPr>
              <w:autoSpaceDN w:val="0"/>
              <w:spacing w:line="240" w:lineRule="auto"/>
              <w:jc w:val="center"/>
              <w:textAlignment w:val="center"/>
              <w:rPr>
                <w:bCs/>
                <w:sz w:val="22"/>
              </w:rPr>
            </w:pPr>
            <w:r>
              <w:rPr>
                <w:rFonts w:hAnsi="宋体"/>
                <w:bCs/>
                <w:sz w:val="22"/>
              </w:rPr>
              <w:t>重量法</w:t>
            </w:r>
          </w:p>
        </w:tc>
        <w:tc>
          <w:tcPr>
            <w:tcW w:w="2417" w:type="dxa"/>
            <w:vAlign w:val="center"/>
          </w:tcPr>
          <w:p>
            <w:pPr>
              <w:spacing w:line="240" w:lineRule="auto"/>
              <w:jc w:val="center"/>
              <w:rPr>
                <w:sz w:val="22"/>
              </w:rPr>
            </w:pPr>
            <w:r>
              <w:rPr>
                <w:sz w:val="22"/>
              </w:rPr>
              <w:t>GB/T 16157-1996</w:t>
            </w:r>
          </w:p>
        </w:tc>
        <w:tc>
          <w:tcPr>
            <w:tcW w:w="1472" w:type="dxa"/>
            <w:vAlign w:val="center"/>
          </w:tcPr>
          <w:p>
            <w:pPr>
              <w:autoSpaceDN w:val="0"/>
              <w:spacing w:line="240" w:lineRule="auto"/>
              <w:jc w:val="center"/>
              <w:textAlignment w:val="center"/>
              <w:rPr>
                <w:sz w:val="22"/>
              </w:rPr>
            </w:pPr>
            <w:r>
              <w:rPr>
                <w:rFonts w:hint="eastAsia"/>
                <w:sz w:val="22"/>
              </w:rPr>
              <w:t>5</w:t>
            </w:r>
            <w:r>
              <w:rPr>
                <w:sz w:val="22"/>
              </w:rPr>
              <w:t xml:space="preserve"> mg/m</w:t>
            </w:r>
            <w:r>
              <w:rPr>
                <w:sz w:val="22"/>
                <w:vertAlign w:val="superscript"/>
              </w:rPr>
              <w:t>3</w:t>
            </w:r>
          </w:p>
        </w:tc>
      </w:tr>
    </w:tbl>
    <w:p>
      <w:pPr>
        <w:pStyle w:val="49"/>
        <w:spacing w:before="177"/>
      </w:pPr>
      <w:r>
        <w:t>表</w:t>
      </w:r>
      <w:r>
        <w:rPr>
          <w:rFonts w:hint="eastAsia"/>
        </w:rPr>
        <w:t>8.1</w:t>
      </w:r>
      <w:r>
        <w:t>-</w:t>
      </w:r>
      <w:r>
        <w:rPr>
          <w:rFonts w:hint="eastAsia"/>
        </w:rPr>
        <w:t>2 无组织</w:t>
      </w:r>
      <w:r>
        <w:t>废气监测分析方法</w:t>
      </w:r>
    </w:p>
    <w:tbl>
      <w:tblPr>
        <w:tblStyle w:val="48"/>
        <w:tblW w:w="871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988"/>
        <w:gridCol w:w="1846"/>
        <w:gridCol w:w="2413"/>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994" w:type="dxa"/>
            <w:vAlign w:val="center"/>
          </w:tcPr>
          <w:p>
            <w:pPr>
              <w:spacing w:line="240" w:lineRule="auto"/>
              <w:jc w:val="center"/>
              <w:rPr>
                <w:sz w:val="22"/>
                <w:szCs w:val="24"/>
              </w:rPr>
            </w:pPr>
            <w:r>
              <w:rPr>
                <w:sz w:val="22"/>
                <w:szCs w:val="24"/>
              </w:rPr>
              <w:t>序号</w:t>
            </w:r>
          </w:p>
        </w:tc>
        <w:tc>
          <w:tcPr>
            <w:tcW w:w="1988" w:type="dxa"/>
            <w:vAlign w:val="center"/>
          </w:tcPr>
          <w:p>
            <w:pPr>
              <w:spacing w:line="240" w:lineRule="auto"/>
              <w:jc w:val="center"/>
              <w:rPr>
                <w:sz w:val="22"/>
                <w:szCs w:val="24"/>
              </w:rPr>
            </w:pPr>
            <w:r>
              <w:rPr>
                <w:sz w:val="22"/>
                <w:szCs w:val="24"/>
              </w:rPr>
              <w:t>项目</w:t>
            </w:r>
          </w:p>
        </w:tc>
        <w:tc>
          <w:tcPr>
            <w:tcW w:w="1846" w:type="dxa"/>
            <w:vAlign w:val="center"/>
          </w:tcPr>
          <w:p>
            <w:pPr>
              <w:spacing w:line="240" w:lineRule="auto"/>
              <w:jc w:val="center"/>
              <w:rPr>
                <w:sz w:val="22"/>
                <w:szCs w:val="24"/>
              </w:rPr>
            </w:pPr>
            <w:r>
              <w:rPr>
                <w:sz w:val="22"/>
                <w:szCs w:val="24"/>
              </w:rPr>
              <w:t>检测方法</w:t>
            </w:r>
          </w:p>
        </w:tc>
        <w:tc>
          <w:tcPr>
            <w:tcW w:w="2413" w:type="dxa"/>
            <w:vAlign w:val="center"/>
          </w:tcPr>
          <w:p>
            <w:pPr>
              <w:spacing w:line="240" w:lineRule="auto"/>
              <w:jc w:val="center"/>
              <w:rPr>
                <w:sz w:val="22"/>
                <w:szCs w:val="24"/>
              </w:rPr>
            </w:pPr>
            <w:r>
              <w:rPr>
                <w:sz w:val="22"/>
                <w:szCs w:val="24"/>
              </w:rPr>
              <w:t>方法依据</w:t>
            </w:r>
          </w:p>
        </w:tc>
        <w:tc>
          <w:tcPr>
            <w:tcW w:w="1470" w:type="dxa"/>
            <w:vAlign w:val="center"/>
          </w:tcPr>
          <w:p>
            <w:pPr>
              <w:spacing w:line="240" w:lineRule="auto"/>
              <w:jc w:val="center"/>
              <w:rPr>
                <w:sz w:val="22"/>
                <w:szCs w:val="24"/>
              </w:rPr>
            </w:pPr>
            <w:r>
              <w:rPr>
                <w:sz w:val="22"/>
                <w:szCs w:val="24"/>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994" w:type="dxa"/>
            <w:vAlign w:val="center"/>
          </w:tcPr>
          <w:p>
            <w:pPr>
              <w:spacing w:line="240" w:lineRule="auto"/>
              <w:jc w:val="center"/>
              <w:rPr>
                <w:sz w:val="22"/>
                <w:szCs w:val="24"/>
              </w:rPr>
            </w:pPr>
            <w:r>
              <w:rPr>
                <w:sz w:val="22"/>
                <w:szCs w:val="24"/>
              </w:rPr>
              <w:t>1</w:t>
            </w:r>
          </w:p>
        </w:tc>
        <w:tc>
          <w:tcPr>
            <w:tcW w:w="1988" w:type="dxa"/>
            <w:vAlign w:val="center"/>
          </w:tcPr>
          <w:p>
            <w:pPr>
              <w:spacing w:line="240" w:lineRule="auto"/>
              <w:jc w:val="center"/>
              <w:rPr>
                <w:sz w:val="22"/>
                <w:szCs w:val="24"/>
              </w:rPr>
            </w:pPr>
            <w:r>
              <w:rPr>
                <w:sz w:val="22"/>
                <w:szCs w:val="24"/>
              </w:rPr>
              <w:t>颗粒物</w:t>
            </w:r>
          </w:p>
        </w:tc>
        <w:tc>
          <w:tcPr>
            <w:tcW w:w="1846" w:type="dxa"/>
            <w:vAlign w:val="center"/>
          </w:tcPr>
          <w:p>
            <w:pPr>
              <w:spacing w:line="240" w:lineRule="auto"/>
              <w:jc w:val="center"/>
              <w:rPr>
                <w:sz w:val="22"/>
                <w:szCs w:val="21"/>
              </w:rPr>
            </w:pPr>
            <w:r>
              <w:rPr>
                <w:sz w:val="22"/>
                <w:szCs w:val="21"/>
              </w:rPr>
              <w:t>重量法</w:t>
            </w:r>
          </w:p>
        </w:tc>
        <w:tc>
          <w:tcPr>
            <w:tcW w:w="2413" w:type="dxa"/>
            <w:vAlign w:val="center"/>
          </w:tcPr>
          <w:p>
            <w:pPr>
              <w:spacing w:line="240" w:lineRule="auto"/>
              <w:jc w:val="center"/>
              <w:rPr>
                <w:sz w:val="22"/>
                <w:szCs w:val="21"/>
              </w:rPr>
            </w:pPr>
            <w:r>
              <w:rPr>
                <w:sz w:val="22"/>
                <w:szCs w:val="21"/>
              </w:rPr>
              <w:t>GB/T 15432-1995</w:t>
            </w:r>
          </w:p>
        </w:tc>
        <w:tc>
          <w:tcPr>
            <w:tcW w:w="1470" w:type="dxa"/>
            <w:vAlign w:val="center"/>
          </w:tcPr>
          <w:p>
            <w:pPr>
              <w:spacing w:line="240" w:lineRule="auto"/>
              <w:jc w:val="center"/>
              <w:rPr>
                <w:sz w:val="22"/>
                <w:szCs w:val="21"/>
              </w:rPr>
            </w:pPr>
            <w:r>
              <w:rPr>
                <w:sz w:val="22"/>
                <w:szCs w:val="21"/>
              </w:rPr>
              <w:t>0.001 mg/m</w:t>
            </w:r>
            <w:r>
              <w:rPr>
                <w:sz w:val="22"/>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994" w:type="dxa"/>
            <w:vAlign w:val="center"/>
          </w:tcPr>
          <w:p>
            <w:pPr>
              <w:spacing w:line="240" w:lineRule="auto"/>
              <w:jc w:val="center"/>
              <w:rPr>
                <w:sz w:val="22"/>
                <w:szCs w:val="24"/>
              </w:rPr>
            </w:pPr>
            <w:r>
              <w:rPr>
                <w:rFonts w:hint="eastAsia"/>
                <w:sz w:val="22"/>
                <w:szCs w:val="24"/>
              </w:rPr>
              <w:t>2</w:t>
            </w:r>
          </w:p>
        </w:tc>
        <w:tc>
          <w:tcPr>
            <w:tcW w:w="1988" w:type="dxa"/>
            <w:vAlign w:val="center"/>
          </w:tcPr>
          <w:p>
            <w:pPr>
              <w:spacing w:line="240" w:lineRule="auto"/>
              <w:jc w:val="center"/>
              <w:rPr>
                <w:sz w:val="22"/>
                <w:szCs w:val="24"/>
              </w:rPr>
            </w:pPr>
            <w:r>
              <w:rPr>
                <w:rFonts w:hint="eastAsia"/>
                <w:sz w:val="22"/>
                <w:szCs w:val="24"/>
              </w:rPr>
              <w:t>非甲烷总烃</w:t>
            </w:r>
          </w:p>
        </w:tc>
        <w:tc>
          <w:tcPr>
            <w:tcW w:w="1846" w:type="dxa"/>
            <w:vAlign w:val="center"/>
          </w:tcPr>
          <w:p>
            <w:pPr>
              <w:spacing w:line="240" w:lineRule="auto"/>
              <w:jc w:val="center"/>
              <w:rPr>
                <w:sz w:val="22"/>
                <w:szCs w:val="21"/>
              </w:rPr>
            </w:pPr>
            <w:r>
              <w:rPr>
                <w:rFonts w:hint="eastAsia"/>
                <w:sz w:val="22"/>
                <w:szCs w:val="21"/>
              </w:rPr>
              <w:t>气相色谱法</w:t>
            </w:r>
          </w:p>
        </w:tc>
        <w:tc>
          <w:tcPr>
            <w:tcW w:w="2413" w:type="dxa"/>
            <w:vAlign w:val="center"/>
          </w:tcPr>
          <w:p>
            <w:pPr>
              <w:spacing w:line="240" w:lineRule="auto"/>
              <w:jc w:val="center"/>
              <w:rPr>
                <w:sz w:val="22"/>
                <w:szCs w:val="21"/>
              </w:rPr>
            </w:pPr>
            <w:r>
              <w:rPr>
                <w:sz w:val="22"/>
                <w:szCs w:val="21"/>
              </w:rPr>
              <w:t>HJ/T 38-1999</w:t>
            </w:r>
          </w:p>
        </w:tc>
        <w:tc>
          <w:tcPr>
            <w:tcW w:w="1470" w:type="dxa"/>
            <w:vAlign w:val="center"/>
          </w:tcPr>
          <w:p>
            <w:pPr>
              <w:spacing w:line="240" w:lineRule="auto"/>
              <w:rPr>
                <w:sz w:val="22"/>
                <w:szCs w:val="21"/>
              </w:rPr>
            </w:pPr>
            <w:r>
              <w:rPr>
                <w:sz w:val="22"/>
                <w:szCs w:val="21"/>
              </w:rPr>
              <w:t>0.04 mg/m3</w:t>
            </w:r>
          </w:p>
        </w:tc>
      </w:tr>
    </w:tbl>
    <w:p>
      <w:pPr>
        <w:adjustRightInd/>
        <w:snapToGrid/>
        <w:spacing w:beforeLines="50" w:line="240" w:lineRule="auto"/>
        <w:jc w:val="center"/>
        <w:rPr>
          <w:rFonts w:eastAsia="黑体"/>
          <w:sz w:val="22"/>
          <w:szCs w:val="28"/>
        </w:rPr>
      </w:pPr>
      <w:r>
        <w:rPr>
          <w:rFonts w:hint="eastAsia" w:eastAsia="黑体"/>
          <w:sz w:val="22"/>
          <w:szCs w:val="28"/>
        </w:rPr>
        <w:t>表8.1</w:t>
      </w:r>
      <w:r>
        <w:rPr>
          <w:rFonts w:eastAsia="黑体"/>
          <w:sz w:val="22"/>
          <w:szCs w:val="28"/>
        </w:rPr>
        <w:t>-</w:t>
      </w:r>
      <w:r>
        <w:rPr>
          <w:rFonts w:hint="eastAsia" w:eastAsia="黑体"/>
          <w:sz w:val="22"/>
          <w:szCs w:val="28"/>
        </w:rPr>
        <w:t>3噪声</w:t>
      </w:r>
      <w:r>
        <w:rPr>
          <w:rFonts w:eastAsia="黑体"/>
          <w:sz w:val="22"/>
          <w:szCs w:val="28"/>
        </w:rPr>
        <w:t>监测分析方法</w:t>
      </w:r>
    </w:p>
    <w:tbl>
      <w:tblPr>
        <w:tblStyle w:val="48"/>
        <w:tblW w:w="872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002"/>
        <w:gridCol w:w="2384"/>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trPr>
        <w:tc>
          <w:tcPr>
            <w:tcW w:w="1001" w:type="dxa"/>
            <w:vAlign w:val="center"/>
          </w:tcPr>
          <w:p>
            <w:pPr>
              <w:spacing w:line="240" w:lineRule="auto"/>
              <w:jc w:val="center"/>
              <w:rPr>
                <w:sz w:val="22"/>
                <w:szCs w:val="24"/>
              </w:rPr>
            </w:pPr>
            <w:r>
              <w:rPr>
                <w:sz w:val="22"/>
                <w:szCs w:val="24"/>
              </w:rPr>
              <w:t>序号</w:t>
            </w:r>
          </w:p>
        </w:tc>
        <w:tc>
          <w:tcPr>
            <w:tcW w:w="2002" w:type="dxa"/>
            <w:vAlign w:val="center"/>
          </w:tcPr>
          <w:p>
            <w:pPr>
              <w:spacing w:line="240" w:lineRule="auto"/>
              <w:jc w:val="center"/>
              <w:rPr>
                <w:sz w:val="22"/>
                <w:szCs w:val="24"/>
              </w:rPr>
            </w:pPr>
            <w:r>
              <w:rPr>
                <w:sz w:val="22"/>
                <w:szCs w:val="24"/>
              </w:rPr>
              <w:t>项目</w:t>
            </w:r>
          </w:p>
        </w:tc>
        <w:tc>
          <w:tcPr>
            <w:tcW w:w="2384" w:type="dxa"/>
            <w:vAlign w:val="center"/>
          </w:tcPr>
          <w:p>
            <w:pPr>
              <w:spacing w:line="240" w:lineRule="auto"/>
              <w:jc w:val="center"/>
              <w:rPr>
                <w:sz w:val="22"/>
                <w:szCs w:val="24"/>
              </w:rPr>
            </w:pPr>
            <w:r>
              <w:rPr>
                <w:sz w:val="22"/>
                <w:szCs w:val="24"/>
              </w:rPr>
              <w:t>检测方法</w:t>
            </w:r>
          </w:p>
        </w:tc>
        <w:tc>
          <w:tcPr>
            <w:tcW w:w="3336" w:type="dxa"/>
            <w:vAlign w:val="center"/>
          </w:tcPr>
          <w:p>
            <w:pPr>
              <w:spacing w:line="240" w:lineRule="auto"/>
              <w:jc w:val="center"/>
              <w:rPr>
                <w:sz w:val="22"/>
                <w:szCs w:val="24"/>
              </w:rPr>
            </w:pPr>
            <w:r>
              <w:rPr>
                <w:sz w:val="22"/>
                <w:szCs w:val="24"/>
              </w:rPr>
              <w:t>方法依据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trPr>
        <w:tc>
          <w:tcPr>
            <w:tcW w:w="1001" w:type="dxa"/>
            <w:vAlign w:val="center"/>
          </w:tcPr>
          <w:p>
            <w:pPr>
              <w:spacing w:line="240" w:lineRule="auto"/>
              <w:jc w:val="center"/>
              <w:rPr>
                <w:sz w:val="22"/>
                <w:szCs w:val="24"/>
              </w:rPr>
            </w:pPr>
            <w:r>
              <w:rPr>
                <w:sz w:val="22"/>
                <w:szCs w:val="24"/>
              </w:rPr>
              <w:t>1</w:t>
            </w:r>
          </w:p>
        </w:tc>
        <w:tc>
          <w:tcPr>
            <w:tcW w:w="2002" w:type="dxa"/>
            <w:vAlign w:val="center"/>
          </w:tcPr>
          <w:p>
            <w:pPr>
              <w:spacing w:line="240" w:lineRule="auto"/>
              <w:jc w:val="center"/>
              <w:rPr>
                <w:sz w:val="22"/>
                <w:szCs w:val="24"/>
              </w:rPr>
            </w:pPr>
            <w:r>
              <w:rPr>
                <w:sz w:val="22"/>
                <w:szCs w:val="24"/>
              </w:rPr>
              <w:t>厂界噪声L</w:t>
            </w:r>
            <w:r>
              <w:rPr>
                <w:rFonts w:hint="eastAsia"/>
                <w:sz w:val="22"/>
                <w:szCs w:val="24"/>
              </w:rPr>
              <w:t>e</w:t>
            </w:r>
            <w:r>
              <w:rPr>
                <w:sz w:val="22"/>
                <w:szCs w:val="24"/>
              </w:rPr>
              <w:t>q</w:t>
            </w:r>
          </w:p>
        </w:tc>
        <w:tc>
          <w:tcPr>
            <w:tcW w:w="2384" w:type="dxa"/>
            <w:vAlign w:val="center"/>
          </w:tcPr>
          <w:p>
            <w:pPr>
              <w:spacing w:line="240" w:lineRule="auto"/>
              <w:jc w:val="center"/>
              <w:rPr>
                <w:sz w:val="22"/>
                <w:szCs w:val="21"/>
              </w:rPr>
            </w:pPr>
            <w:r>
              <w:rPr>
                <w:rFonts w:hint="eastAsia"/>
                <w:sz w:val="22"/>
              </w:rPr>
              <w:t>工业企业厂界环境噪声排放标准</w:t>
            </w:r>
          </w:p>
        </w:tc>
        <w:tc>
          <w:tcPr>
            <w:tcW w:w="3336" w:type="dxa"/>
            <w:vAlign w:val="center"/>
          </w:tcPr>
          <w:p>
            <w:pPr>
              <w:spacing w:line="240" w:lineRule="auto"/>
              <w:jc w:val="center"/>
              <w:rPr>
                <w:sz w:val="22"/>
                <w:szCs w:val="21"/>
              </w:rPr>
            </w:pPr>
            <w:r>
              <w:rPr>
                <w:sz w:val="22"/>
                <w:szCs w:val="21"/>
              </w:rPr>
              <w:t>（GB 12348-2008）</w:t>
            </w:r>
          </w:p>
        </w:tc>
      </w:tr>
    </w:tbl>
    <w:p>
      <w:pPr>
        <w:pStyle w:val="3"/>
        <w:spacing w:before="70" w:after="70"/>
        <w:rPr>
          <w:color w:val="3E3E3E"/>
        </w:rPr>
      </w:pPr>
      <w:bookmarkStart w:id="93" w:name="_Toc502699375"/>
      <w:bookmarkStart w:id="94" w:name="_Toc499060221"/>
      <w:bookmarkStart w:id="95" w:name="_Toc499059484"/>
      <w:r>
        <w:t>8.2监测仪器</w:t>
      </w:r>
      <w:bookmarkEnd w:id="93"/>
      <w:bookmarkEnd w:id="94"/>
      <w:bookmarkEnd w:id="95"/>
    </w:p>
    <w:p>
      <w:pPr>
        <w:adjustRightInd/>
        <w:snapToGrid/>
        <w:spacing w:beforeLines="50" w:line="240" w:lineRule="auto"/>
        <w:jc w:val="center"/>
        <w:rPr>
          <w:rFonts w:eastAsia="黑体"/>
          <w:sz w:val="22"/>
          <w:szCs w:val="28"/>
        </w:rPr>
      </w:pPr>
      <w:r>
        <w:rPr>
          <w:rFonts w:hint="eastAsia" w:eastAsia="黑体"/>
          <w:sz w:val="22"/>
          <w:szCs w:val="28"/>
        </w:rPr>
        <w:t>表8.2</w:t>
      </w:r>
      <w:r>
        <w:rPr>
          <w:rFonts w:eastAsia="黑体"/>
          <w:sz w:val="22"/>
          <w:szCs w:val="28"/>
        </w:rPr>
        <w:t>-</w:t>
      </w:r>
      <w:r>
        <w:rPr>
          <w:rFonts w:hint="eastAsia" w:eastAsia="黑体"/>
          <w:sz w:val="22"/>
          <w:szCs w:val="28"/>
        </w:rPr>
        <w:t>1监测仪器一览表</w:t>
      </w:r>
    </w:p>
    <w:tbl>
      <w:tblPr>
        <w:tblStyle w:val="48"/>
        <w:tblW w:w="863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695"/>
        <w:gridCol w:w="1843"/>
        <w:gridCol w:w="2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1416" w:type="dxa"/>
            <w:vAlign w:val="center"/>
          </w:tcPr>
          <w:p>
            <w:pPr>
              <w:spacing w:line="240" w:lineRule="auto"/>
              <w:jc w:val="center"/>
              <w:rPr>
                <w:sz w:val="22"/>
                <w:szCs w:val="24"/>
              </w:rPr>
            </w:pPr>
            <w:r>
              <w:rPr>
                <w:sz w:val="22"/>
                <w:szCs w:val="24"/>
              </w:rPr>
              <w:t>类别</w:t>
            </w:r>
          </w:p>
        </w:tc>
        <w:tc>
          <w:tcPr>
            <w:tcW w:w="2695" w:type="dxa"/>
            <w:vAlign w:val="center"/>
          </w:tcPr>
          <w:p>
            <w:pPr>
              <w:spacing w:line="240" w:lineRule="auto"/>
              <w:jc w:val="center"/>
              <w:rPr>
                <w:sz w:val="22"/>
                <w:szCs w:val="24"/>
              </w:rPr>
            </w:pPr>
            <w:r>
              <w:rPr>
                <w:sz w:val="22"/>
                <w:szCs w:val="24"/>
              </w:rPr>
              <w:t>仪器名称</w:t>
            </w:r>
          </w:p>
        </w:tc>
        <w:tc>
          <w:tcPr>
            <w:tcW w:w="1843" w:type="dxa"/>
            <w:vAlign w:val="center"/>
          </w:tcPr>
          <w:p>
            <w:pPr>
              <w:spacing w:line="240" w:lineRule="auto"/>
              <w:jc w:val="center"/>
              <w:rPr>
                <w:sz w:val="22"/>
                <w:szCs w:val="24"/>
              </w:rPr>
            </w:pPr>
            <w:r>
              <w:rPr>
                <w:sz w:val="22"/>
                <w:szCs w:val="24"/>
              </w:rPr>
              <w:t>仪器型号</w:t>
            </w:r>
          </w:p>
        </w:tc>
        <w:tc>
          <w:tcPr>
            <w:tcW w:w="2679" w:type="dxa"/>
            <w:vAlign w:val="center"/>
          </w:tcPr>
          <w:p>
            <w:pPr>
              <w:spacing w:line="240" w:lineRule="auto"/>
              <w:jc w:val="center"/>
              <w:rPr>
                <w:sz w:val="22"/>
                <w:szCs w:val="24"/>
              </w:rPr>
            </w:pPr>
            <w:r>
              <w:rPr>
                <w:sz w:val="22"/>
                <w:szCs w:val="24"/>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1416" w:type="dxa"/>
            <w:vMerge w:val="restart"/>
            <w:vAlign w:val="center"/>
          </w:tcPr>
          <w:p>
            <w:pPr>
              <w:spacing w:line="240" w:lineRule="auto"/>
              <w:jc w:val="center"/>
              <w:rPr>
                <w:sz w:val="22"/>
                <w:szCs w:val="24"/>
              </w:rPr>
            </w:pPr>
            <w:r>
              <w:rPr>
                <w:sz w:val="22"/>
                <w:szCs w:val="24"/>
              </w:rPr>
              <w:t>现场采样</w:t>
            </w:r>
          </w:p>
          <w:p>
            <w:pPr>
              <w:jc w:val="center"/>
              <w:rPr>
                <w:sz w:val="22"/>
                <w:szCs w:val="24"/>
              </w:rPr>
            </w:pPr>
            <w:r>
              <w:rPr>
                <w:sz w:val="22"/>
                <w:szCs w:val="24"/>
              </w:rPr>
              <w:t>仪器</w:t>
            </w:r>
          </w:p>
        </w:tc>
        <w:tc>
          <w:tcPr>
            <w:tcW w:w="2695" w:type="dxa"/>
            <w:vAlign w:val="center"/>
          </w:tcPr>
          <w:p>
            <w:pPr>
              <w:spacing w:line="240" w:lineRule="auto"/>
              <w:jc w:val="center"/>
              <w:rPr>
                <w:sz w:val="22"/>
                <w:szCs w:val="24"/>
              </w:rPr>
            </w:pPr>
            <w:r>
              <w:rPr>
                <w:rFonts w:hint="eastAsia"/>
                <w:sz w:val="22"/>
                <w:szCs w:val="24"/>
              </w:rPr>
              <w:t>自动烟尘（气）采样器</w:t>
            </w:r>
          </w:p>
        </w:tc>
        <w:tc>
          <w:tcPr>
            <w:tcW w:w="1843" w:type="dxa"/>
            <w:vAlign w:val="center"/>
          </w:tcPr>
          <w:p>
            <w:pPr>
              <w:spacing w:line="240" w:lineRule="auto"/>
              <w:jc w:val="center"/>
              <w:rPr>
                <w:sz w:val="22"/>
                <w:szCs w:val="21"/>
              </w:rPr>
            </w:pPr>
            <w:r>
              <w:rPr>
                <w:sz w:val="22"/>
                <w:szCs w:val="21"/>
              </w:rPr>
              <w:t>崂应</w:t>
            </w:r>
            <w:r>
              <w:rPr>
                <w:rFonts w:hint="eastAsia"/>
                <w:sz w:val="22"/>
                <w:szCs w:val="21"/>
              </w:rPr>
              <w:t>3012型</w:t>
            </w:r>
          </w:p>
        </w:tc>
        <w:tc>
          <w:tcPr>
            <w:tcW w:w="2679" w:type="dxa"/>
            <w:vAlign w:val="center"/>
          </w:tcPr>
          <w:p>
            <w:pPr>
              <w:spacing w:line="240" w:lineRule="auto"/>
              <w:jc w:val="center"/>
              <w:rPr>
                <w:sz w:val="22"/>
                <w:szCs w:val="21"/>
              </w:rPr>
            </w:pPr>
            <w:r>
              <w:rPr>
                <w:rFonts w:hint="eastAsia"/>
                <w:sz w:val="22"/>
                <w:szCs w:val="21"/>
              </w:rPr>
              <w:t>固定源废气：颗粒物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1416" w:type="dxa"/>
            <w:vMerge w:val="continue"/>
            <w:vAlign w:val="center"/>
          </w:tcPr>
          <w:p>
            <w:pPr>
              <w:spacing w:line="240" w:lineRule="auto"/>
              <w:jc w:val="center"/>
              <w:rPr>
                <w:sz w:val="22"/>
                <w:szCs w:val="24"/>
              </w:rPr>
            </w:pPr>
          </w:p>
        </w:tc>
        <w:tc>
          <w:tcPr>
            <w:tcW w:w="2695" w:type="dxa"/>
            <w:vAlign w:val="center"/>
          </w:tcPr>
          <w:p>
            <w:pPr>
              <w:spacing w:line="240" w:lineRule="auto"/>
              <w:jc w:val="center"/>
              <w:rPr>
                <w:sz w:val="22"/>
                <w:szCs w:val="24"/>
              </w:rPr>
            </w:pPr>
            <w:r>
              <w:rPr>
                <w:sz w:val="22"/>
                <w:szCs w:val="24"/>
              </w:rPr>
              <w:t>空气智能TSP综合采样器</w:t>
            </w:r>
          </w:p>
        </w:tc>
        <w:tc>
          <w:tcPr>
            <w:tcW w:w="1843" w:type="dxa"/>
            <w:vAlign w:val="center"/>
          </w:tcPr>
          <w:p>
            <w:pPr>
              <w:spacing w:line="240" w:lineRule="auto"/>
              <w:jc w:val="center"/>
              <w:rPr>
                <w:sz w:val="22"/>
                <w:szCs w:val="21"/>
              </w:rPr>
            </w:pPr>
            <w:r>
              <w:rPr>
                <w:sz w:val="22"/>
                <w:szCs w:val="21"/>
              </w:rPr>
              <w:t>崂应2050型</w:t>
            </w:r>
          </w:p>
        </w:tc>
        <w:tc>
          <w:tcPr>
            <w:tcW w:w="2679" w:type="dxa"/>
            <w:vAlign w:val="center"/>
          </w:tcPr>
          <w:p>
            <w:pPr>
              <w:spacing w:line="240" w:lineRule="auto"/>
              <w:jc w:val="center"/>
              <w:rPr>
                <w:sz w:val="22"/>
                <w:szCs w:val="21"/>
              </w:rPr>
            </w:pPr>
            <w:r>
              <w:rPr>
                <w:sz w:val="22"/>
                <w:szCs w:val="21"/>
              </w:rPr>
              <w:t>无组织废气：颗粒物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1416" w:type="dxa"/>
            <w:vMerge w:val="continue"/>
            <w:vAlign w:val="center"/>
          </w:tcPr>
          <w:p>
            <w:pPr>
              <w:spacing w:line="240" w:lineRule="auto"/>
              <w:jc w:val="center"/>
              <w:rPr>
                <w:sz w:val="22"/>
                <w:szCs w:val="24"/>
              </w:rPr>
            </w:pPr>
          </w:p>
        </w:tc>
        <w:tc>
          <w:tcPr>
            <w:tcW w:w="2695" w:type="dxa"/>
            <w:vAlign w:val="center"/>
          </w:tcPr>
          <w:p>
            <w:pPr>
              <w:spacing w:line="240" w:lineRule="auto"/>
              <w:jc w:val="center"/>
              <w:rPr>
                <w:sz w:val="22"/>
                <w:szCs w:val="24"/>
              </w:rPr>
            </w:pPr>
            <w:r>
              <w:rPr>
                <w:sz w:val="22"/>
                <w:szCs w:val="24"/>
              </w:rPr>
              <w:t>噪声统计分析仪</w:t>
            </w:r>
          </w:p>
        </w:tc>
        <w:tc>
          <w:tcPr>
            <w:tcW w:w="1843" w:type="dxa"/>
            <w:vAlign w:val="center"/>
          </w:tcPr>
          <w:p>
            <w:pPr>
              <w:spacing w:line="240" w:lineRule="auto"/>
              <w:jc w:val="center"/>
              <w:rPr>
                <w:sz w:val="22"/>
                <w:szCs w:val="21"/>
              </w:rPr>
            </w:pPr>
            <w:r>
              <w:rPr>
                <w:sz w:val="22"/>
                <w:szCs w:val="21"/>
              </w:rPr>
              <w:t>AWA6218B型</w:t>
            </w:r>
          </w:p>
        </w:tc>
        <w:tc>
          <w:tcPr>
            <w:tcW w:w="2679" w:type="dxa"/>
            <w:vAlign w:val="center"/>
          </w:tcPr>
          <w:p>
            <w:pPr>
              <w:spacing w:line="240" w:lineRule="auto"/>
              <w:jc w:val="center"/>
              <w:rPr>
                <w:sz w:val="22"/>
                <w:szCs w:val="21"/>
              </w:rPr>
            </w:pPr>
            <w:r>
              <w:rPr>
                <w:sz w:val="22"/>
                <w:szCs w:val="21"/>
              </w:rPr>
              <w:t>厂界噪声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1416" w:type="dxa"/>
            <w:vMerge w:val="restart"/>
            <w:vAlign w:val="center"/>
          </w:tcPr>
          <w:p>
            <w:pPr>
              <w:spacing w:line="240" w:lineRule="auto"/>
              <w:jc w:val="center"/>
              <w:rPr>
                <w:sz w:val="22"/>
                <w:szCs w:val="24"/>
              </w:rPr>
            </w:pPr>
            <w:r>
              <w:rPr>
                <w:sz w:val="22"/>
                <w:szCs w:val="24"/>
              </w:rPr>
              <w:t>实验室监测仪器</w:t>
            </w:r>
          </w:p>
        </w:tc>
        <w:tc>
          <w:tcPr>
            <w:tcW w:w="2695" w:type="dxa"/>
            <w:vAlign w:val="center"/>
          </w:tcPr>
          <w:p>
            <w:pPr>
              <w:spacing w:line="240" w:lineRule="auto"/>
              <w:jc w:val="center"/>
              <w:rPr>
                <w:sz w:val="22"/>
                <w:szCs w:val="24"/>
              </w:rPr>
            </w:pPr>
            <w:r>
              <w:rPr>
                <w:sz w:val="22"/>
                <w:szCs w:val="24"/>
              </w:rPr>
              <w:t>电子天平</w:t>
            </w:r>
          </w:p>
        </w:tc>
        <w:tc>
          <w:tcPr>
            <w:tcW w:w="1843" w:type="dxa"/>
            <w:vAlign w:val="center"/>
          </w:tcPr>
          <w:p>
            <w:pPr>
              <w:spacing w:line="240" w:lineRule="auto"/>
              <w:jc w:val="center"/>
              <w:rPr>
                <w:sz w:val="22"/>
                <w:szCs w:val="21"/>
              </w:rPr>
            </w:pPr>
            <w:r>
              <w:rPr>
                <w:sz w:val="22"/>
                <w:szCs w:val="21"/>
              </w:rPr>
              <w:t>FA2004N</w:t>
            </w:r>
          </w:p>
        </w:tc>
        <w:tc>
          <w:tcPr>
            <w:tcW w:w="2679" w:type="dxa"/>
            <w:vAlign w:val="center"/>
          </w:tcPr>
          <w:p>
            <w:pPr>
              <w:spacing w:line="240" w:lineRule="auto"/>
              <w:jc w:val="center"/>
              <w:rPr>
                <w:sz w:val="22"/>
                <w:szCs w:val="21"/>
              </w:rPr>
            </w:pPr>
            <w:r>
              <w:rPr>
                <w:sz w:val="22"/>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1416" w:type="dxa"/>
            <w:vMerge w:val="continue"/>
            <w:vAlign w:val="center"/>
          </w:tcPr>
          <w:p>
            <w:pPr>
              <w:spacing w:line="240" w:lineRule="auto"/>
              <w:jc w:val="center"/>
              <w:rPr>
                <w:sz w:val="22"/>
                <w:szCs w:val="24"/>
              </w:rPr>
            </w:pPr>
          </w:p>
        </w:tc>
        <w:tc>
          <w:tcPr>
            <w:tcW w:w="2695" w:type="dxa"/>
            <w:vAlign w:val="center"/>
          </w:tcPr>
          <w:p>
            <w:pPr>
              <w:spacing w:line="240" w:lineRule="auto"/>
              <w:jc w:val="center"/>
              <w:rPr>
                <w:sz w:val="22"/>
                <w:szCs w:val="24"/>
              </w:rPr>
            </w:pPr>
            <w:r>
              <w:rPr>
                <w:rFonts w:hint="eastAsia"/>
                <w:sz w:val="22"/>
                <w:szCs w:val="24"/>
              </w:rPr>
              <w:t>气相色谱仪</w:t>
            </w:r>
          </w:p>
        </w:tc>
        <w:tc>
          <w:tcPr>
            <w:tcW w:w="1843" w:type="dxa"/>
            <w:vAlign w:val="center"/>
          </w:tcPr>
          <w:p>
            <w:pPr>
              <w:spacing w:line="240" w:lineRule="auto"/>
              <w:jc w:val="center"/>
              <w:rPr>
                <w:sz w:val="22"/>
                <w:szCs w:val="21"/>
              </w:rPr>
            </w:pPr>
            <w:r>
              <w:rPr>
                <w:rFonts w:hint="eastAsia"/>
                <w:sz w:val="22"/>
                <w:szCs w:val="21"/>
              </w:rPr>
              <w:t>GC7900</w:t>
            </w:r>
          </w:p>
        </w:tc>
        <w:tc>
          <w:tcPr>
            <w:tcW w:w="2679" w:type="dxa"/>
            <w:vAlign w:val="center"/>
          </w:tcPr>
          <w:p>
            <w:pPr>
              <w:spacing w:line="240" w:lineRule="auto"/>
              <w:jc w:val="center"/>
              <w:rPr>
                <w:sz w:val="22"/>
                <w:szCs w:val="21"/>
              </w:rPr>
            </w:pPr>
            <w:r>
              <w:rPr>
                <w:rFonts w:hint="eastAsia"/>
                <w:sz w:val="22"/>
                <w:szCs w:val="21"/>
              </w:rPr>
              <w:t>非甲烷总烃</w:t>
            </w:r>
          </w:p>
        </w:tc>
      </w:tr>
    </w:tbl>
    <w:p>
      <w:pPr>
        <w:pStyle w:val="3"/>
        <w:spacing w:before="70" w:after="70"/>
        <w:ind w:left="640" w:hanging="640" w:hangingChars="200"/>
      </w:pPr>
      <w:bookmarkStart w:id="96" w:name="_Toc499060222"/>
      <w:bookmarkStart w:id="97" w:name="_Toc502699376"/>
      <w:bookmarkStart w:id="98" w:name="_Toc499059485"/>
    </w:p>
    <w:p>
      <w:pPr>
        <w:pStyle w:val="3"/>
        <w:spacing w:before="70" w:after="70"/>
        <w:ind w:left="640" w:hanging="640" w:hangingChars="200"/>
      </w:pPr>
      <w:r>
        <w:t>8.3人员资质</w:t>
      </w:r>
      <w:bookmarkEnd w:id="96"/>
      <w:bookmarkEnd w:id="97"/>
      <w:bookmarkEnd w:id="98"/>
    </w:p>
    <w:p>
      <w:pPr>
        <w:ind w:firstLine="520"/>
        <w:rPr>
          <w:kern w:val="0"/>
        </w:rPr>
      </w:pPr>
      <w:bookmarkStart w:id="99" w:name="_Toc499059486"/>
      <w:bookmarkStart w:id="100" w:name="_Toc499060223"/>
      <w:r>
        <w:rPr>
          <w:kern w:val="0"/>
        </w:rPr>
        <w:t>监测采样与测试分析人员均经考核合格并持证上岗，监测数据和技术报告执行三级审核制度。</w:t>
      </w:r>
      <w:bookmarkEnd w:id="99"/>
      <w:bookmarkEnd w:id="100"/>
    </w:p>
    <w:p>
      <w:pPr>
        <w:pStyle w:val="3"/>
        <w:spacing w:before="70" w:after="70"/>
        <w:rPr>
          <w:color w:val="3E3E3E"/>
        </w:rPr>
      </w:pPr>
      <w:bookmarkStart w:id="101" w:name="_Toc499060224"/>
      <w:bookmarkStart w:id="102" w:name="_Toc502699377"/>
      <w:bookmarkStart w:id="103" w:name="_Toc499059487"/>
      <w:r>
        <w:t>8.4气体监测分析过程中的质量保证和质量控制</w:t>
      </w:r>
      <w:bookmarkEnd w:id="101"/>
      <w:bookmarkEnd w:id="102"/>
      <w:bookmarkEnd w:id="103"/>
    </w:p>
    <w:p>
      <w:pPr>
        <w:widowControl/>
        <w:shd w:val="clear" w:color="auto" w:fill="FFFFFF"/>
        <w:ind w:firstLine="520"/>
        <w:rPr>
          <w:rFonts w:eastAsiaTheme="majorEastAsia"/>
          <w:color w:val="000000"/>
          <w:kern w:val="0"/>
          <w:szCs w:val="26"/>
        </w:rPr>
      </w:pPr>
      <w:r>
        <w:rPr>
          <w:rFonts w:eastAsiaTheme="majorEastAsia"/>
          <w:color w:val="000000"/>
          <w:kern w:val="0"/>
          <w:szCs w:val="26"/>
        </w:rPr>
        <w:t>监测质量保证和质量控制按照《大气污染物无组织排放监测技术导则》（HJ/T 55-2000）的相关要求进行。采用国标分析方法，监测采样与测试分析人员均经考核合格并持证上岗，监测仪器经计量部门检定并在有效使用期内。监测数据及监测报告执行三级审核制度。</w:t>
      </w:r>
    </w:p>
    <w:p>
      <w:pPr>
        <w:widowControl/>
        <w:shd w:val="clear" w:color="auto" w:fill="FFFFFF"/>
        <w:ind w:firstLine="520"/>
        <w:rPr>
          <w:rFonts w:eastAsiaTheme="majorEastAsia"/>
          <w:color w:val="000000"/>
          <w:kern w:val="0"/>
          <w:szCs w:val="26"/>
        </w:rPr>
      </w:pPr>
      <w:r>
        <w:rPr>
          <w:rFonts w:eastAsiaTheme="majorEastAsia"/>
          <w:color w:val="000000"/>
          <w:kern w:val="0"/>
          <w:szCs w:val="26"/>
        </w:rPr>
        <w:t>（1）尽量避免被测排放物中共存污染物对分析的交叉干扰。</w:t>
      </w:r>
    </w:p>
    <w:p>
      <w:pPr>
        <w:widowControl/>
        <w:shd w:val="clear" w:color="auto" w:fill="FFFFFF"/>
        <w:ind w:firstLine="520"/>
        <w:rPr>
          <w:rFonts w:eastAsiaTheme="majorEastAsia"/>
          <w:color w:val="000000"/>
          <w:kern w:val="0"/>
          <w:szCs w:val="26"/>
        </w:rPr>
      </w:pPr>
      <w:r>
        <w:rPr>
          <w:rFonts w:eastAsiaTheme="majorEastAsia"/>
          <w:color w:val="000000"/>
          <w:kern w:val="0"/>
          <w:szCs w:val="26"/>
        </w:rPr>
        <w:t>（2）被测排放物的浓度在仪器量程的有效范围（即30%～70%之间）。</w:t>
      </w:r>
    </w:p>
    <w:p>
      <w:pPr>
        <w:widowControl/>
        <w:shd w:val="clear" w:color="auto" w:fill="FFFFFF"/>
        <w:ind w:firstLine="520"/>
        <w:rPr>
          <w:rFonts w:eastAsiaTheme="majorEastAsia"/>
          <w:color w:val="000000"/>
          <w:kern w:val="0"/>
          <w:szCs w:val="26"/>
        </w:rPr>
      </w:pPr>
      <w:r>
        <w:rPr>
          <w:rFonts w:eastAsiaTheme="majorEastAsia"/>
          <w:color w:val="000000"/>
          <w:kern w:val="0"/>
          <w:szCs w:val="26"/>
        </w:rPr>
        <w:t>（3）采样器在进入现场前应对采样器流量计、流速计等进行校核。监测（分析）仪器在测试前按监测因子分别用标准气体和流量计对其进行校核（标定），在测试时应保证其采样流量的准确。</w:t>
      </w:r>
    </w:p>
    <w:p>
      <w:pPr>
        <w:widowControl/>
        <w:shd w:val="clear" w:color="auto" w:fill="FFFFFF"/>
        <w:ind w:firstLine="520"/>
        <w:rPr>
          <w:rFonts w:eastAsiaTheme="majorEastAsia"/>
          <w:color w:val="000000"/>
          <w:kern w:val="0"/>
          <w:szCs w:val="26"/>
        </w:rPr>
      </w:pPr>
      <w:r>
        <w:rPr>
          <w:rFonts w:hint="eastAsia" w:eastAsiaTheme="majorEastAsia"/>
          <w:color w:val="000000"/>
          <w:kern w:val="0"/>
          <w:szCs w:val="26"/>
        </w:rPr>
        <w:t>（4）分析过程中加测标准样品。</w:t>
      </w:r>
    </w:p>
    <w:p>
      <w:pPr>
        <w:pStyle w:val="14"/>
        <w:spacing w:line="360" w:lineRule="auto"/>
        <w:ind w:firstLine="440" w:firstLineChars="200"/>
        <w:jc w:val="center"/>
        <w:rPr>
          <w:sz w:val="22"/>
          <w:szCs w:val="22"/>
        </w:rPr>
      </w:pPr>
      <w:r>
        <w:rPr>
          <w:rFonts w:hint="eastAsia"/>
          <w:sz w:val="22"/>
          <w:szCs w:val="22"/>
        </w:rPr>
        <w:t>8.4-1气态污染物质控结果表</w:t>
      </w:r>
    </w:p>
    <w:tbl>
      <w:tblPr>
        <w:tblStyle w:val="47"/>
        <w:tblW w:w="91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03"/>
        <w:gridCol w:w="2110"/>
        <w:gridCol w:w="1162"/>
        <w:gridCol w:w="1568"/>
        <w:gridCol w:w="1568"/>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2" w:hRule="atLeast"/>
          <w:jc w:val="center"/>
        </w:trPr>
        <w:tc>
          <w:tcPr>
            <w:tcW w:w="1503" w:type="dxa"/>
            <w:vMerge w:val="restart"/>
            <w:shd w:val="clear" w:color="auto" w:fill="auto"/>
            <w:vAlign w:val="center"/>
          </w:tcPr>
          <w:p>
            <w:pPr>
              <w:widowControl/>
              <w:spacing w:line="240" w:lineRule="exact"/>
              <w:jc w:val="center"/>
              <w:rPr>
                <w:kern w:val="0"/>
                <w:sz w:val="22"/>
              </w:rPr>
            </w:pPr>
            <w:r>
              <w:rPr>
                <w:kern w:val="0"/>
                <w:sz w:val="22"/>
              </w:rPr>
              <w:t>项目</w:t>
            </w:r>
          </w:p>
        </w:tc>
        <w:tc>
          <w:tcPr>
            <w:tcW w:w="2110" w:type="dxa"/>
            <w:vMerge w:val="restart"/>
            <w:shd w:val="clear" w:color="auto" w:fill="auto"/>
            <w:vAlign w:val="center"/>
          </w:tcPr>
          <w:p>
            <w:pPr>
              <w:widowControl/>
              <w:spacing w:line="240" w:lineRule="exact"/>
              <w:jc w:val="center"/>
              <w:rPr>
                <w:kern w:val="0"/>
                <w:sz w:val="22"/>
              </w:rPr>
            </w:pPr>
            <w:r>
              <w:rPr>
                <w:rFonts w:hint="eastAsia"/>
                <w:kern w:val="0"/>
                <w:sz w:val="22"/>
              </w:rPr>
              <w:t>标准气体生产厂家</w:t>
            </w:r>
          </w:p>
        </w:tc>
        <w:tc>
          <w:tcPr>
            <w:tcW w:w="1162" w:type="dxa"/>
            <w:vMerge w:val="restart"/>
            <w:vAlign w:val="center"/>
          </w:tcPr>
          <w:p>
            <w:pPr>
              <w:widowControl/>
              <w:spacing w:line="240" w:lineRule="exact"/>
              <w:jc w:val="center"/>
              <w:rPr>
                <w:kern w:val="0"/>
                <w:sz w:val="22"/>
              </w:rPr>
            </w:pPr>
            <w:r>
              <w:rPr>
                <w:kern w:val="0"/>
                <w:sz w:val="22"/>
              </w:rPr>
              <w:t>批号</w:t>
            </w:r>
          </w:p>
        </w:tc>
        <w:tc>
          <w:tcPr>
            <w:tcW w:w="3136" w:type="dxa"/>
            <w:gridSpan w:val="2"/>
            <w:shd w:val="clear" w:color="auto" w:fill="auto"/>
            <w:vAlign w:val="center"/>
          </w:tcPr>
          <w:p>
            <w:pPr>
              <w:widowControl/>
              <w:spacing w:line="240" w:lineRule="exact"/>
              <w:jc w:val="center"/>
              <w:rPr>
                <w:kern w:val="0"/>
                <w:sz w:val="22"/>
              </w:rPr>
            </w:pPr>
            <w:r>
              <w:rPr>
                <w:rFonts w:hint="eastAsia"/>
                <w:kern w:val="0"/>
                <w:sz w:val="22"/>
              </w:rPr>
              <w:t>密</w:t>
            </w:r>
            <w:r>
              <w:rPr>
                <w:kern w:val="0"/>
                <w:sz w:val="22"/>
              </w:rPr>
              <w:t>码质控</w:t>
            </w:r>
          </w:p>
        </w:tc>
        <w:tc>
          <w:tcPr>
            <w:tcW w:w="1207" w:type="dxa"/>
            <w:vMerge w:val="restart"/>
            <w:shd w:val="clear" w:color="auto" w:fill="auto"/>
            <w:vAlign w:val="center"/>
          </w:tcPr>
          <w:p>
            <w:pPr>
              <w:widowControl/>
              <w:spacing w:line="240" w:lineRule="exact"/>
              <w:jc w:val="center"/>
              <w:rPr>
                <w:kern w:val="0"/>
                <w:sz w:val="22"/>
              </w:rPr>
            </w:pPr>
            <w:r>
              <w:rPr>
                <w:kern w:val="0"/>
                <w:sz w:val="22"/>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2" w:hRule="atLeast"/>
          <w:jc w:val="center"/>
        </w:trPr>
        <w:tc>
          <w:tcPr>
            <w:tcW w:w="1503" w:type="dxa"/>
            <w:vMerge w:val="continue"/>
            <w:vAlign w:val="center"/>
          </w:tcPr>
          <w:p>
            <w:pPr>
              <w:widowControl/>
              <w:spacing w:line="240" w:lineRule="exact"/>
              <w:jc w:val="center"/>
              <w:rPr>
                <w:kern w:val="0"/>
                <w:sz w:val="22"/>
              </w:rPr>
            </w:pPr>
          </w:p>
        </w:tc>
        <w:tc>
          <w:tcPr>
            <w:tcW w:w="2110" w:type="dxa"/>
            <w:vMerge w:val="continue"/>
            <w:vAlign w:val="center"/>
          </w:tcPr>
          <w:p>
            <w:pPr>
              <w:widowControl/>
              <w:spacing w:line="240" w:lineRule="exact"/>
              <w:jc w:val="center"/>
              <w:rPr>
                <w:kern w:val="0"/>
                <w:sz w:val="22"/>
              </w:rPr>
            </w:pPr>
          </w:p>
        </w:tc>
        <w:tc>
          <w:tcPr>
            <w:tcW w:w="1162" w:type="dxa"/>
            <w:vMerge w:val="continue"/>
            <w:vAlign w:val="center"/>
          </w:tcPr>
          <w:p>
            <w:pPr>
              <w:widowControl/>
              <w:spacing w:line="240" w:lineRule="exact"/>
              <w:jc w:val="center"/>
              <w:rPr>
                <w:kern w:val="0"/>
                <w:sz w:val="22"/>
              </w:rPr>
            </w:pPr>
          </w:p>
        </w:tc>
        <w:tc>
          <w:tcPr>
            <w:tcW w:w="1568" w:type="dxa"/>
            <w:shd w:val="clear" w:color="auto" w:fill="auto"/>
            <w:vAlign w:val="center"/>
          </w:tcPr>
          <w:p>
            <w:pPr>
              <w:widowControl/>
              <w:spacing w:line="240" w:lineRule="exact"/>
              <w:jc w:val="center"/>
              <w:rPr>
                <w:kern w:val="0"/>
                <w:sz w:val="22"/>
              </w:rPr>
            </w:pPr>
            <w:r>
              <w:rPr>
                <w:kern w:val="0"/>
                <w:sz w:val="22"/>
              </w:rPr>
              <w:t>保证值（mg/L）</w:t>
            </w:r>
          </w:p>
        </w:tc>
        <w:tc>
          <w:tcPr>
            <w:tcW w:w="1568" w:type="dxa"/>
            <w:shd w:val="clear" w:color="auto" w:fill="auto"/>
            <w:vAlign w:val="center"/>
          </w:tcPr>
          <w:p>
            <w:pPr>
              <w:widowControl/>
              <w:spacing w:line="240" w:lineRule="exact"/>
              <w:jc w:val="center"/>
              <w:rPr>
                <w:kern w:val="0"/>
                <w:sz w:val="22"/>
              </w:rPr>
            </w:pPr>
            <w:r>
              <w:rPr>
                <w:kern w:val="0"/>
                <w:sz w:val="22"/>
              </w:rPr>
              <w:t>结果（mg/L）</w:t>
            </w:r>
          </w:p>
        </w:tc>
        <w:tc>
          <w:tcPr>
            <w:tcW w:w="1207" w:type="dxa"/>
            <w:vMerge w:val="continue"/>
            <w:shd w:val="clear" w:color="auto" w:fill="auto"/>
            <w:vAlign w:val="center"/>
          </w:tcPr>
          <w:p>
            <w:pPr>
              <w:widowControl/>
              <w:spacing w:line="240" w:lineRule="exact"/>
              <w:jc w:val="center"/>
              <w:rPr>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1503" w:type="dxa"/>
            <w:shd w:val="clear" w:color="auto" w:fill="auto"/>
            <w:vAlign w:val="center"/>
          </w:tcPr>
          <w:p>
            <w:pPr>
              <w:widowControl/>
              <w:spacing w:line="240" w:lineRule="auto"/>
              <w:jc w:val="center"/>
              <w:rPr>
                <w:kern w:val="0"/>
                <w:sz w:val="22"/>
              </w:rPr>
            </w:pPr>
            <w:r>
              <w:rPr>
                <w:rFonts w:hint="eastAsia"/>
                <w:sz w:val="22"/>
              </w:rPr>
              <w:t>甲烷</w:t>
            </w:r>
          </w:p>
        </w:tc>
        <w:tc>
          <w:tcPr>
            <w:tcW w:w="2110" w:type="dxa"/>
            <w:shd w:val="clear" w:color="auto" w:fill="auto"/>
            <w:vAlign w:val="center"/>
          </w:tcPr>
          <w:p>
            <w:pPr>
              <w:widowControl/>
              <w:spacing w:line="240" w:lineRule="auto"/>
              <w:jc w:val="center"/>
              <w:rPr>
                <w:kern w:val="0"/>
                <w:sz w:val="22"/>
              </w:rPr>
            </w:pPr>
            <w:r>
              <w:rPr>
                <w:rFonts w:hint="eastAsia"/>
                <w:kern w:val="0"/>
                <w:sz w:val="22"/>
              </w:rPr>
              <w:t>淄博安泽特种气体有限公司</w:t>
            </w:r>
          </w:p>
        </w:tc>
        <w:tc>
          <w:tcPr>
            <w:tcW w:w="1162" w:type="dxa"/>
            <w:vAlign w:val="center"/>
          </w:tcPr>
          <w:p>
            <w:pPr>
              <w:widowControl/>
              <w:spacing w:line="240" w:lineRule="auto"/>
              <w:jc w:val="center"/>
              <w:rPr>
                <w:kern w:val="0"/>
                <w:sz w:val="22"/>
              </w:rPr>
            </w:pPr>
            <w:r>
              <w:rPr>
                <w:rFonts w:hint="eastAsia"/>
                <w:sz w:val="22"/>
              </w:rPr>
              <w:t>73706168</w:t>
            </w:r>
          </w:p>
        </w:tc>
        <w:tc>
          <w:tcPr>
            <w:tcW w:w="1568" w:type="dxa"/>
            <w:shd w:val="clear" w:color="auto" w:fill="auto"/>
            <w:vAlign w:val="center"/>
          </w:tcPr>
          <w:p>
            <w:pPr>
              <w:spacing w:line="240" w:lineRule="auto"/>
              <w:jc w:val="center"/>
              <w:rPr>
                <w:kern w:val="0"/>
                <w:sz w:val="22"/>
              </w:rPr>
            </w:pPr>
            <w:r>
              <w:rPr>
                <w:rFonts w:hint="eastAsia"/>
                <w:sz w:val="22"/>
              </w:rPr>
              <w:t>4.98</w:t>
            </w:r>
            <w:r>
              <w:rPr>
                <w:sz w:val="22"/>
              </w:rPr>
              <w:t>±</w:t>
            </w:r>
            <w:r>
              <w:rPr>
                <w:rFonts w:hint="eastAsia"/>
                <w:sz w:val="22"/>
              </w:rPr>
              <w:t>2%</w:t>
            </w:r>
          </w:p>
        </w:tc>
        <w:tc>
          <w:tcPr>
            <w:tcW w:w="1568" w:type="dxa"/>
            <w:shd w:val="clear" w:color="auto" w:fill="auto"/>
            <w:vAlign w:val="center"/>
          </w:tcPr>
          <w:p>
            <w:pPr>
              <w:widowControl/>
              <w:spacing w:line="240" w:lineRule="auto"/>
              <w:jc w:val="center"/>
              <w:rPr>
                <w:kern w:val="0"/>
                <w:sz w:val="22"/>
              </w:rPr>
            </w:pPr>
            <w:r>
              <w:rPr>
                <w:rFonts w:hint="eastAsia"/>
                <w:kern w:val="0"/>
                <w:sz w:val="22"/>
              </w:rPr>
              <w:t>4.91</w:t>
            </w:r>
          </w:p>
        </w:tc>
        <w:tc>
          <w:tcPr>
            <w:tcW w:w="1207" w:type="dxa"/>
            <w:shd w:val="clear" w:color="auto" w:fill="auto"/>
            <w:vAlign w:val="center"/>
          </w:tcPr>
          <w:p>
            <w:pPr>
              <w:widowControl/>
              <w:spacing w:line="240" w:lineRule="auto"/>
              <w:jc w:val="center"/>
              <w:rPr>
                <w:kern w:val="0"/>
                <w:sz w:val="22"/>
              </w:rPr>
            </w:pPr>
            <w:r>
              <w:rPr>
                <w:kern w:val="0"/>
                <w:sz w:val="22"/>
              </w:rPr>
              <w:t>是</w:t>
            </w:r>
          </w:p>
        </w:tc>
      </w:tr>
    </w:tbl>
    <w:p>
      <w:pPr>
        <w:pStyle w:val="3"/>
        <w:spacing w:before="70" w:after="70"/>
        <w:rPr>
          <w:color w:val="3E3E3E"/>
        </w:rPr>
      </w:pPr>
      <w:bookmarkStart w:id="104" w:name="_Toc499059488"/>
      <w:bookmarkStart w:id="105" w:name="_Toc499060225"/>
      <w:bookmarkStart w:id="106" w:name="_Toc502699378"/>
      <w:r>
        <w:t>8.</w:t>
      </w:r>
      <w:r>
        <w:rPr>
          <w:rFonts w:hint="eastAsia"/>
        </w:rPr>
        <w:t>5</w:t>
      </w:r>
      <w:r>
        <w:t xml:space="preserve"> 噪声监测分析过程中的质量保证和质量控制</w:t>
      </w:r>
      <w:bookmarkEnd w:id="104"/>
      <w:bookmarkEnd w:id="105"/>
      <w:bookmarkEnd w:id="106"/>
    </w:p>
    <w:p>
      <w:pPr>
        <w:widowControl/>
        <w:shd w:val="clear" w:color="auto" w:fill="FFFFFF"/>
        <w:ind w:firstLine="520"/>
        <w:rPr>
          <w:rFonts w:eastAsiaTheme="majorEastAsia"/>
          <w:color w:val="000000"/>
          <w:kern w:val="0"/>
          <w:szCs w:val="26"/>
        </w:rPr>
      </w:pPr>
      <w:r>
        <w:rPr>
          <w:rFonts w:eastAsiaTheme="majorEastAsia"/>
          <w:color w:val="000000"/>
          <w:kern w:val="0"/>
          <w:szCs w:val="26"/>
        </w:rPr>
        <w:t>质量保证与质量控制按照《工业企业厂界环境噪声排放标准》（ GB 12348-2008）的要求进行。</w:t>
      </w:r>
    </w:p>
    <w:p>
      <w:pPr>
        <w:widowControl/>
        <w:shd w:val="clear" w:color="auto" w:fill="FFFFFF"/>
        <w:ind w:firstLine="520"/>
        <w:rPr>
          <w:rFonts w:eastAsiaTheme="majorEastAsia"/>
          <w:color w:val="000000"/>
          <w:kern w:val="0"/>
          <w:szCs w:val="26"/>
        </w:rPr>
      </w:pPr>
      <w:r>
        <w:rPr>
          <w:rFonts w:hint="eastAsia" w:eastAsiaTheme="majorEastAsia"/>
          <w:color w:val="000000"/>
          <w:kern w:val="0"/>
          <w:szCs w:val="26"/>
        </w:rPr>
        <w:t>（1）</w:t>
      </w:r>
      <w:r>
        <w:rPr>
          <w:rFonts w:eastAsiaTheme="majorEastAsia"/>
          <w:color w:val="000000"/>
          <w:kern w:val="0"/>
          <w:szCs w:val="26"/>
        </w:rPr>
        <w:t>监测仪器和声校准器在有效检定期内</w:t>
      </w:r>
      <w:r>
        <w:rPr>
          <w:rFonts w:hint="eastAsia" w:eastAsiaTheme="majorEastAsia"/>
          <w:color w:val="000000"/>
          <w:kern w:val="0"/>
          <w:szCs w:val="26"/>
        </w:rPr>
        <w:t>，</w:t>
      </w:r>
      <w:r>
        <w:rPr>
          <w:rFonts w:eastAsiaTheme="majorEastAsia"/>
          <w:color w:val="000000"/>
          <w:kern w:val="0"/>
          <w:szCs w:val="26"/>
        </w:rPr>
        <w:t>监测测试人员均经考核合格并持证上岗。</w:t>
      </w:r>
    </w:p>
    <w:p>
      <w:pPr>
        <w:widowControl/>
        <w:shd w:val="clear" w:color="auto" w:fill="FFFFFF"/>
        <w:ind w:firstLine="520"/>
        <w:rPr>
          <w:rFonts w:eastAsiaTheme="majorEastAsia"/>
          <w:color w:val="000000"/>
          <w:kern w:val="0"/>
          <w:szCs w:val="26"/>
        </w:rPr>
      </w:pPr>
      <w:r>
        <w:rPr>
          <w:rFonts w:hint="eastAsia" w:eastAsiaTheme="majorEastAsia"/>
          <w:color w:val="000000"/>
          <w:kern w:val="0"/>
          <w:szCs w:val="26"/>
        </w:rPr>
        <w:t>（2）</w:t>
      </w:r>
      <w:r>
        <w:rPr>
          <w:rFonts w:eastAsiaTheme="majorEastAsia"/>
          <w:color w:val="000000"/>
          <w:kern w:val="0"/>
          <w:szCs w:val="26"/>
        </w:rPr>
        <w:t>声级计在测量前后使用噪声值为9</w:t>
      </w:r>
      <w:r>
        <w:rPr>
          <w:rFonts w:hint="eastAsia" w:eastAsiaTheme="majorEastAsia"/>
          <w:color w:val="000000"/>
          <w:kern w:val="0"/>
          <w:szCs w:val="26"/>
        </w:rPr>
        <w:t>4.0</w:t>
      </w:r>
      <w:r>
        <w:rPr>
          <w:rFonts w:eastAsiaTheme="majorEastAsia"/>
          <w:color w:val="000000"/>
          <w:kern w:val="0"/>
          <w:szCs w:val="26"/>
        </w:rPr>
        <w:t xml:space="preserve"> dB（A）的标准声源进行校准，其前、后校准示值偏差不大于0.5dB（A）</w:t>
      </w:r>
      <w:r>
        <w:rPr>
          <w:rFonts w:hint="eastAsia" w:eastAsiaTheme="majorEastAsia"/>
          <w:color w:val="000000"/>
          <w:kern w:val="0"/>
          <w:szCs w:val="26"/>
        </w:rPr>
        <w:t>，噪声校准情况见表8.5-1。</w:t>
      </w:r>
    </w:p>
    <w:p>
      <w:pPr>
        <w:widowControl/>
        <w:shd w:val="clear" w:color="auto" w:fill="FFFFFF"/>
        <w:ind w:firstLine="520"/>
        <w:rPr>
          <w:rFonts w:eastAsiaTheme="majorEastAsia"/>
          <w:color w:val="000000"/>
          <w:kern w:val="0"/>
          <w:szCs w:val="26"/>
        </w:rPr>
      </w:pPr>
      <w:r>
        <w:rPr>
          <w:rFonts w:hint="eastAsia" w:eastAsiaTheme="majorEastAsia"/>
          <w:color w:val="000000"/>
          <w:kern w:val="0"/>
          <w:szCs w:val="26"/>
        </w:rPr>
        <w:t>（3）</w:t>
      </w:r>
      <w:r>
        <w:rPr>
          <w:rFonts w:eastAsiaTheme="majorEastAsia"/>
          <w:color w:val="000000"/>
          <w:kern w:val="0"/>
          <w:szCs w:val="26"/>
        </w:rPr>
        <w:t>测量在无雨、无雪天气条件下进行，风速5.</w:t>
      </w:r>
      <w:r>
        <w:rPr>
          <w:rFonts w:hint="eastAsia" w:eastAsiaTheme="majorEastAsia"/>
          <w:color w:val="000000"/>
          <w:kern w:val="0"/>
          <w:szCs w:val="26"/>
        </w:rPr>
        <w:t>0</w:t>
      </w:r>
      <w:r>
        <w:rPr>
          <w:rFonts w:eastAsiaTheme="majorEastAsia"/>
          <w:color w:val="000000"/>
          <w:kern w:val="0"/>
          <w:szCs w:val="26"/>
        </w:rPr>
        <w:t>m/s以上停止测量。</w:t>
      </w:r>
    </w:p>
    <w:p>
      <w:pPr>
        <w:widowControl/>
        <w:shd w:val="clear" w:color="auto" w:fill="FFFFFF"/>
        <w:ind w:firstLine="520"/>
        <w:rPr>
          <w:rFonts w:eastAsiaTheme="majorEastAsia"/>
          <w:color w:val="000000"/>
          <w:kern w:val="0"/>
          <w:szCs w:val="26"/>
        </w:rPr>
      </w:pPr>
      <w:r>
        <w:rPr>
          <w:rFonts w:hint="eastAsia" w:eastAsiaTheme="majorEastAsia"/>
          <w:color w:val="000000"/>
          <w:kern w:val="0"/>
          <w:szCs w:val="26"/>
        </w:rPr>
        <w:t>（4）</w:t>
      </w:r>
      <w:r>
        <w:rPr>
          <w:rFonts w:eastAsiaTheme="majorEastAsia"/>
          <w:color w:val="000000"/>
          <w:kern w:val="0"/>
          <w:szCs w:val="26"/>
        </w:rPr>
        <w:t>测量时传声器加</w:t>
      </w:r>
      <w:r>
        <w:rPr>
          <w:rFonts w:hint="eastAsia" w:eastAsiaTheme="majorEastAsia"/>
          <w:color w:val="000000"/>
          <w:kern w:val="0"/>
          <w:szCs w:val="26"/>
        </w:rPr>
        <w:t>防</w:t>
      </w:r>
      <w:r>
        <w:rPr>
          <w:rFonts w:eastAsiaTheme="majorEastAsia"/>
          <w:color w:val="000000"/>
          <w:kern w:val="0"/>
          <w:szCs w:val="26"/>
        </w:rPr>
        <w:t>风罩。</w:t>
      </w:r>
    </w:p>
    <w:p>
      <w:pPr>
        <w:adjustRightInd/>
        <w:snapToGrid/>
        <w:spacing w:line="240" w:lineRule="auto"/>
        <w:ind w:firstLine="440"/>
        <w:jc w:val="center"/>
        <w:rPr>
          <w:rFonts w:eastAsia="宋体"/>
          <w:kern w:val="0"/>
          <w:sz w:val="24"/>
          <w:szCs w:val="28"/>
        </w:rPr>
      </w:pPr>
      <w:r>
        <w:rPr>
          <w:rFonts w:hint="eastAsia" w:eastAsia="宋体"/>
          <w:kern w:val="0"/>
          <w:sz w:val="22"/>
          <w:szCs w:val="28"/>
        </w:rPr>
        <w:t>8.5-1</w:t>
      </w:r>
      <w:r>
        <w:rPr>
          <w:rFonts w:eastAsia="宋体"/>
          <w:kern w:val="0"/>
          <w:sz w:val="22"/>
          <w:szCs w:val="28"/>
        </w:rPr>
        <w:t>噪声质控结果一览表</w:t>
      </w:r>
    </w:p>
    <w:tbl>
      <w:tblPr>
        <w:tblStyle w:val="47"/>
        <w:tblW w:w="8474" w:type="dxa"/>
        <w:tblInd w:w="28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63"/>
        <w:gridCol w:w="1772"/>
        <w:gridCol w:w="1515"/>
        <w:gridCol w:w="1078"/>
        <w:gridCol w:w="1332"/>
        <w:gridCol w:w="13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50" w:hRule="atLeast"/>
        </w:trPr>
        <w:tc>
          <w:tcPr>
            <w:tcW w:w="1463" w:type="dxa"/>
            <w:vAlign w:val="center"/>
          </w:tcPr>
          <w:p>
            <w:pPr>
              <w:widowControl/>
              <w:spacing w:line="300" w:lineRule="exact"/>
              <w:jc w:val="center"/>
              <w:rPr>
                <w:kern w:val="0"/>
                <w:sz w:val="22"/>
              </w:rPr>
            </w:pPr>
            <w:r>
              <w:rPr>
                <w:kern w:val="0"/>
                <w:sz w:val="22"/>
              </w:rPr>
              <w:t>日期</w:t>
            </w:r>
          </w:p>
        </w:tc>
        <w:tc>
          <w:tcPr>
            <w:tcW w:w="1772" w:type="dxa"/>
            <w:vAlign w:val="center"/>
          </w:tcPr>
          <w:p>
            <w:pPr>
              <w:widowControl/>
              <w:spacing w:line="300" w:lineRule="exact"/>
              <w:jc w:val="center"/>
              <w:rPr>
                <w:kern w:val="0"/>
                <w:sz w:val="22"/>
              </w:rPr>
            </w:pPr>
            <w:r>
              <w:rPr>
                <w:kern w:val="0"/>
                <w:sz w:val="22"/>
              </w:rPr>
              <w:t>测量前[dB(A)]</w:t>
            </w:r>
          </w:p>
        </w:tc>
        <w:tc>
          <w:tcPr>
            <w:tcW w:w="1515" w:type="dxa"/>
            <w:vAlign w:val="center"/>
          </w:tcPr>
          <w:p>
            <w:pPr>
              <w:widowControl/>
              <w:spacing w:line="300" w:lineRule="exact"/>
              <w:jc w:val="center"/>
              <w:rPr>
                <w:kern w:val="0"/>
                <w:sz w:val="22"/>
              </w:rPr>
            </w:pPr>
            <w:r>
              <w:rPr>
                <w:kern w:val="0"/>
                <w:sz w:val="22"/>
              </w:rPr>
              <w:t>测</w:t>
            </w:r>
            <w:r>
              <w:rPr>
                <w:rFonts w:hint="eastAsia"/>
                <w:kern w:val="0"/>
                <w:sz w:val="22"/>
              </w:rPr>
              <w:t>量</w:t>
            </w:r>
            <w:r>
              <w:rPr>
                <w:kern w:val="0"/>
                <w:sz w:val="22"/>
              </w:rPr>
              <w:t>后[dB(A)]</w:t>
            </w:r>
          </w:p>
        </w:tc>
        <w:tc>
          <w:tcPr>
            <w:tcW w:w="1078" w:type="dxa"/>
            <w:vAlign w:val="center"/>
          </w:tcPr>
          <w:p>
            <w:pPr>
              <w:widowControl/>
              <w:spacing w:line="300" w:lineRule="exact"/>
              <w:jc w:val="center"/>
              <w:rPr>
                <w:kern w:val="0"/>
                <w:sz w:val="22"/>
              </w:rPr>
            </w:pPr>
            <w:r>
              <w:rPr>
                <w:kern w:val="0"/>
                <w:sz w:val="22"/>
              </w:rPr>
              <w:t>差值</w:t>
            </w:r>
          </w:p>
        </w:tc>
        <w:tc>
          <w:tcPr>
            <w:tcW w:w="1332" w:type="dxa"/>
            <w:vAlign w:val="center"/>
          </w:tcPr>
          <w:p>
            <w:pPr>
              <w:widowControl/>
              <w:spacing w:line="300" w:lineRule="exact"/>
              <w:jc w:val="center"/>
              <w:rPr>
                <w:kern w:val="0"/>
                <w:sz w:val="22"/>
              </w:rPr>
            </w:pPr>
            <w:r>
              <w:rPr>
                <w:kern w:val="0"/>
                <w:sz w:val="22"/>
              </w:rPr>
              <w:t>允许差值</w:t>
            </w:r>
            <w:r>
              <w:rPr>
                <w:sz w:val="22"/>
              </w:rPr>
              <w:t>dB</w:t>
            </w:r>
          </w:p>
        </w:tc>
        <w:tc>
          <w:tcPr>
            <w:tcW w:w="1314" w:type="dxa"/>
            <w:vAlign w:val="center"/>
          </w:tcPr>
          <w:p>
            <w:pPr>
              <w:widowControl/>
              <w:spacing w:line="300" w:lineRule="exact"/>
              <w:jc w:val="center"/>
              <w:rPr>
                <w:kern w:val="0"/>
                <w:sz w:val="22"/>
              </w:rPr>
            </w:pPr>
            <w:r>
              <w:rPr>
                <w:kern w:val="0"/>
                <w:sz w:val="22"/>
              </w:rPr>
              <w:t>是否</w:t>
            </w:r>
          </w:p>
          <w:p>
            <w:pPr>
              <w:widowControl/>
              <w:spacing w:line="300" w:lineRule="exact"/>
              <w:jc w:val="center"/>
              <w:rPr>
                <w:kern w:val="0"/>
                <w:sz w:val="22"/>
              </w:rPr>
            </w:pPr>
            <w:r>
              <w:rPr>
                <w:kern w:val="0"/>
                <w:sz w:val="22"/>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8" w:hRule="atLeast"/>
        </w:trPr>
        <w:tc>
          <w:tcPr>
            <w:tcW w:w="1463" w:type="dxa"/>
            <w:vMerge w:val="restart"/>
            <w:vAlign w:val="center"/>
          </w:tcPr>
          <w:p>
            <w:pPr>
              <w:widowControl/>
              <w:spacing w:line="300" w:lineRule="exact"/>
              <w:jc w:val="center"/>
              <w:rPr>
                <w:kern w:val="0"/>
                <w:sz w:val="22"/>
              </w:rPr>
            </w:pPr>
            <w:r>
              <w:rPr>
                <w:kern w:val="0"/>
                <w:sz w:val="22"/>
              </w:rPr>
              <w:t>2017.12.21</w:t>
            </w:r>
          </w:p>
        </w:tc>
        <w:tc>
          <w:tcPr>
            <w:tcW w:w="1772" w:type="dxa"/>
            <w:vAlign w:val="center"/>
          </w:tcPr>
          <w:p>
            <w:pPr>
              <w:spacing w:line="240" w:lineRule="auto"/>
              <w:jc w:val="center"/>
              <w:rPr>
                <w:sz w:val="22"/>
              </w:rPr>
            </w:pPr>
            <w:r>
              <w:rPr>
                <w:rFonts w:hint="eastAsia"/>
                <w:kern w:val="0"/>
                <w:sz w:val="22"/>
              </w:rPr>
              <w:t>93.8</w:t>
            </w:r>
          </w:p>
        </w:tc>
        <w:tc>
          <w:tcPr>
            <w:tcW w:w="1515" w:type="dxa"/>
            <w:vAlign w:val="center"/>
          </w:tcPr>
          <w:p>
            <w:pPr>
              <w:spacing w:line="240" w:lineRule="auto"/>
              <w:jc w:val="center"/>
              <w:rPr>
                <w:sz w:val="22"/>
              </w:rPr>
            </w:pPr>
            <w:r>
              <w:rPr>
                <w:rFonts w:hint="eastAsia"/>
                <w:kern w:val="0"/>
                <w:sz w:val="22"/>
              </w:rPr>
              <w:t>93.7</w:t>
            </w:r>
          </w:p>
        </w:tc>
        <w:tc>
          <w:tcPr>
            <w:tcW w:w="1078" w:type="dxa"/>
            <w:vAlign w:val="center"/>
          </w:tcPr>
          <w:p>
            <w:pPr>
              <w:widowControl/>
              <w:spacing w:line="240" w:lineRule="auto"/>
              <w:jc w:val="center"/>
              <w:rPr>
                <w:kern w:val="0"/>
                <w:sz w:val="22"/>
              </w:rPr>
            </w:pPr>
            <w:r>
              <w:rPr>
                <w:rFonts w:hint="eastAsia"/>
                <w:kern w:val="0"/>
                <w:sz w:val="22"/>
              </w:rPr>
              <w:t>-0.1</w:t>
            </w:r>
          </w:p>
        </w:tc>
        <w:tc>
          <w:tcPr>
            <w:tcW w:w="1332" w:type="dxa"/>
            <w:vAlign w:val="center"/>
          </w:tcPr>
          <w:p>
            <w:pPr>
              <w:widowControl/>
              <w:spacing w:line="240" w:lineRule="auto"/>
              <w:jc w:val="center"/>
              <w:rPr>
                <w:kern w:val="0"/>
                <w:sz w:val="22"/>
              </w:rPr>
            </w:pPr>
            <w:r>
              <w:rPr>
                <w:kern w:val="0"/>
                <w:sz w:val="22"/>
              </w:rPr>
              <w:t>≤0.5</w:t>
            </w:r>
          </w:p>
        </w:tc>
        <w:tc>
          <w:tcPr>
            <w:tcW w:w="1314" w:type="dxa"/>
            <w:vAlign w:val="center"/>
          </w:tcPr>
          <w:p>
            <w:pPr>
              <w:widowControl/>
              <w:spacing w:line="240" w:lineRule="auto"/>
              <w:jc w:val="center"/>
              <w:rPr>
                <w:kern w:val="0"/>
                <w:sz w:val="22"/>
              </w:rPr>
            </w:pPr>
            <w:r>
              <w:rPr>
                <w:kern w:val="0"/>
                <w:sz w:val="22"/>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8" w:hRule="atLeast"/>
        </w:trPr>
        <w:tc>
          <w:tcPr>
            <w:tcW w:w="1463" w:type="dxa"/>
            <w:vMerge w:val="continue"/>
            <w:vAlign w:val="center"/>
          </w:tcPr>
          <w:p>
            <w:pPr>
              <w:widowControl/>
              <w:spacing w:line="300" w:lineRule="exact"/>
              <w:jc w:val="center"/>
              <w:rPr>
                <w:kern w:val="0"/>
                <w:sz w:val="22"/>
              </w:rPr>
            </w:pPr>
          </w:p>
        </w:tc>
        <w:tc>
          <w:tcPr>
            <w:tcW w:w="1772" w:type="dxa"/>
            <w:vAlign w:val="center"/>
          </w:tcPr>
          <w:p>
            <w:pPr>
              <w:spacing w:line="240" w:lineRule="auto"/>
              <w:jc w:val="center"/>
              <w:rPr>
                <w:sz w:val="22"/>
              </w:rPr>
            </w:pPr>
            <w:r>
              <w:rPr>
                <w:rFonts w:hint="eastAsia"/>
                <w:kern w:val="0"/>
                <w:sz w:val="22"/>
              </w:rPr>
              <w:t>93.7</w:t>
            </w:r>
          </w:p>
        </w:tc>
        <w:tc>
          <w:tcPr>
            <w:tcW w:w="1515" w:type="dxa"/>
            <w:vAlign w:val="center"/>
          </w:tcPr>
          <w:p>
            <w:pPr>
              <w:spacing w:line="240" w:lineRule="auto"/>
              <w:jc w:val="center"/>
              <w:rPr>
                <w:sz w:val="22"/>
              </w:rPr>
            </w:pPr>
            <w:r>
              <w:rPr>
                <w:rFonts w:hint="eastAsia"/>
                <w:kern w:val="0"/>
                <w:sz w:val="22"/>
              </w:rPr>
              <w:t>93.8</w:t>
            </w:r>
          </w:p>
        </w:tc>
        <w:tc>
          <w:tcPr>
            <w:tcW w:w="1078" w:type="dxa"/>
            <w:vAlign w:val="center"/>
          </w:tcPr>
          <w:p>
            <w:pPr>
              <w:spacing w:line="240" w:lineRule="auto"/>
              <w:jc w:val="center"/>
              <w:rPr>
                <w:sz w:val="22"/>
              </w:rPr>
            </w:pPr>
            <w:r>
              <w:rPr>
                <w:rFonts w:hint="eastAsia"/>
                <w:kern w:val="0"/>
                <w:sz w:val="22"/>
              </w:rPr>
              <w:t>0.1</w:t>
            </w:r>
          </w:p>
        </w:tc>
        <w:tc>
          <w:tcPr>
            <w:tcW w:w="1332" w:type="dxa"/>
            <w:vAlign w:val="center"/>
          </w:tcPr>
          <w:p>
            <w:pPr>
              <w:spacing w:line="240" w:lineRule="auto"/>
              <w:jc w:val="center"/>
              <w:rPr>
                <w:kern w:val="0"/>
                <w:sz w:val="22"/>
              </w:rPr>
            </w:pPr>
            <w:r>
              <w:rPr>
                <w:kern w:val="0"/>
                <w:sz w:val="22"/>
              </w:rPr>
              <w:t>≤0.5</w:t>
            </w:r>
          </w:p>
        </w:tc>
        <w:tc>
          <w:tcPr>
            <w:tcW w:w="1314" w:type="dxa"/>
            <w:vAlign w:val="center"/>
          </w:tcPr>
          <w:p>
            <w:pPr>
              <w:spacing w:line="240" w:lineRule="auto"/>
              <w:jc w:val="center"/>
              <w:rPr>
                <w:kern w:val="0"/>
                <w:sz w:val="22"/>
              </w:rPr>
            </w:pPr>
            <w:r>
              <w:rPr>
                <w:kern w:val="0"/>
                <w:sz w:val="22"/>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8" w:hRule="atLeast"/>
        </w:trPr>
        <w:tc>
          <w:tcPr>
            <w:tcW w:w="1463" w:type="dxa"/>
            <w:vMerge w:val="restart"/>
            <w:vAlign w:val="center"/>
          </w:tcPr>
          <w:p>
            <w:pPr>
              <w:widowControl/>
              <w:spacing w:line="300" w:lineRule="exact"/>
              <w:jc w:val="center"/>
              <w:rPr>
                <w:kern w:val="0"/>
                <w:sz w:val="22"/>
              </w:rPr>
            </w:pPr>
            <w:r>
              <w:rPr>
                <w:kern w:val="0"/>
                <w:sz w:val="22"/>
              </w:rPr>
              <w:t>2017.12.22</w:t>
            </w:r>
          </w:p>
        </w:tc>
        <w:tc>
          <w:tcPr>
            <w:tcW w:w="1772" w:type="dxa"/>
            <w:vAlign w:val="center"/>
          </w:tcPr>
          <w:p>
            <w:pPr>
              <w:spacing w:line="240" w:lineRule="auto"/>
              <w:jc w:val="center"/>
              <w:rPr>
                <w:sz w:val="22"/>
              </w:rPr>
            </w:pPr>
            <w:r>
              <w:rPr>
                <w:rFonts w:hint="eastAsia"/>
                <w:kern w:val="0"/>
                <w:sz w:val="22"/>
              </w:rPr>
              <w:t>93.9</w:t>
            </w:r>
          </w:p>
        </w:tc>
        <w:tc>
          <w:tcPr>
            <w:tcW w:w="1515" w:type="dxa"/>
            <w:vAlign w:val="center"/>
          </w:tcPr>
          <w:p>
            <w:pPr>
              <w:spacing w:line="240" w:lineRule="auto"/>
              <w:jc w:val="center"/>
              <w:rPr>
                <w:sz w:val="22"/>
              </w:rPr>
            </w:pPr>
            <w:r>
              <w:rPr>
                <w:rFonts w:hint="eastAsia"/>
                <w:kern w:val="0"/>
                <w:sz w:val="22"/>
              </w:rPr>
              <w:t>93.7</w:t>
            </w:r>
          </w:p>
        </w:tc>
        <w:tc>
          <w:tcPr>
            <w:tcW w:w="1078" w:type="dxa"/>
            <w:vAlign w:val="center"/>
          </w:tcPr>
          <w:p>
            <w:pPr>
              <w:spacing w:line="240" w:lineRule="auto"/>
              <w:jc w:val="center"/>
              <w:rPr>
                <w:sz w:val="22"/>
              </w:rPr>
            </w:pPr>
            <w:r>
              <w:rPr>
                <w:rFonts w:hint="eastAsia"/>
                <w:kern w:val="0"/>
                <w:sz w:val="22"/>
              </w:rPr>
              <w:t>-0.2</w:t>
            </w:r>
          </w:p>
        </w:tc>
        <w:tc>
          <w:tcPr>
            <w:tcW w:w="1332" w:type="dxa"/>
            <w:vAlign w:val="center"/>
          </w:tcPr>
          <w:p>
            <w:pPr>
              <w:widowControl/>
              <w:spacing w:line="240" w:lineRule="auto"/>
              <w:jc w:val="center"/>
              <w:rPr>
                <w:kern w:val="0"/>
                <w:sz w:val="22"/>
              </w:rPr>
            </w:pPr>
            <w:r>
              <w:rPr>
                <w:kern w:val="0"/>
                <w:sz w:val="22"/>
              </w:rPr>
              <w:t>≤0.5</w:t>
            </w:r>
          </w:p>
        </w:tc>
        <w:tc>
          <w:tcPr>
            <w:tcW w:w="1314" w:type="dxa"/>
            <w:vAlign w:val="center"/>
          </w:tcPr>
          <w:p>
            <w:pPr>
              <w:widowControl/>
              <w:spacing w:line="240" w:lineRule="auto"/>
              <w:jc w:val="center"/>
              <w:rPr>
                <w:kern w:val="0"/>
                <w:sz w:val="22"/>
              </w:rPr>
            </w:pPr>
            <w:r>
              <w:rPr>
                <w:kern w:val="0"/>
                <w:sz w:val="22"/>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8" w:hRule="atLeast"/>
        </w:trPr>
        <w:tc>
          <w:tcPr>
            <w:tcW w:w="1463" w:type="dxa"/>
            <w:vMerge w:val="continue"/>
            <w:vAlign w:val="center"/>
          </w:tcPr>
          <w:p>
            <w:pPr>
              <w:widowControl/>
              <w:spacing w:line="300" w:lineRule="exact"/>
              <w:jc w:val="center"/>
              <w:rPr>
                <w:kern w:val="0"/>
                <w:sz w:val="22"/>
              </w:rPr>
            </w:pPr>
          </w:p>
        </w:tc>
        <w:tc>
          <w:tcPr>
            <w:tcW w:w="1772" w:type="dxa"/>
            <w:vAlign w:val="center"/>
          </w:tcPr>
          <w:p>
            <w:pPr>
              <w:spacing w:line="240" w:lineRule="auto"/>
              <w:jc w:val="center"/>
              <w:rPr>
                <w:sz w:val="22"/>
              </w:rPr>
            </w:pPr>
            <w:r>
              <w:rPr>
                <w:rFonts w:hint="eastAsia"/>
                <w:kern w:val="0"/>
                <w:sz w:val="22"/>
              </w:rPr>
              <w:t>93.8</w:t>
            </w:r>
          </w:p>
        </w:tc>
        <w:tc>
          <w:tcPr>
            <w:tcW w:w="1515" w:type="dxa"/>
            <w:vAlign w:val="center"/>
          </w:tcPr>
          <w:p>
            <w:pPr>
              <w:spacing w:line="240" w:lineRule="auto"/>
              <w:jc w:val="center"/>
              <w:rPr>
                <w:sz w:val="22"/>
              </w:rPr>
            </w:pPr>
            <w:r>
              <w:rPr>
                <w:rFonts w:hint="eastAsia"/>
                <w:kern w:val="0"/>
                <w:sz w:val="22"/>
              </w:rPr>
              <w:t>93.8</w:t>
            </w:r>
          </w:p>
        </w:tc>
        <w:tc>
          <w:tcPr>
            <w:tcW w:w="1078" w:type="dxa"/>
            <w:vAlign w:val="center"/>
          </w:tcPr>
          <w:p>
            <w:pPr>
              <w:spacing w:line="240" w:lineRule="auto"/>
              <w:jc w:val="center"/>
              <w:rPr>
                <w:sz w:val="22"/>
              </w:rPr>
            </w:pPr>
            <w:r>
              <w:rPr>
                <w:rFonts w:hint="eastAsia"/>
                <w:kern w:val="0"/>
                <w:sz w:val="22"/>
              </w:rPr>
              <w:t>0</w:t>
            </w:r>
          </w:p>
        </w:tc>
        <w:tc>
          <w:tcPr>
            <w:tcW w:w="1332" w:type="dxa"/>
            <w:vAlign w:val="center"/>
          </w:tcPr>
          <w:p>
            <w:pPr>
              <w:spacing w:line="240" w:lineRule="auto"/>
              <w:jc w:val="center"/>
              <w:rPr>
                <w:kern w:val="0"/>
                <w:sz w:val="22"/>
              </w:rPr>
            </w:pPr>
            <w:r>
              <w:rPr>
                <w:kern w:val="0"/>
                <w:sz w:val="22"/>
              </w:rPr>
              <w:t>≤0.5</w:t>
            </w:r>
          </w:p>
        </w:tc>
        <w:tc>
          <w:tcPr>
            <w:tcW w:w="1314" w:type="dxa"/>
            <w:vAlign w:val="center"/>
          </w:tcPr>
          <w:p>
            <w:pPr>
              <w:spacing w:line="240" w:lineRule="auto"/>
              <w:jc w:val="center"/>
              <w:rPr>
                <w:kern w:val="0"/>
                <w:sz w:val="22"/>
              </w:rPr>
            </w:pPr>
            <w:r>
              <w:rPr>
                <w:kern w:val="0"/>
                <w:sz w:val="22"/>
              </w:rPr>
              <w:t>是</w:t>
            </w:r>
          </w:p>
        </w:tc>
      </w:tr>
    </w:tbl>
    <w:p>
      <w:pPr>
        <w:pStyle w:val="2"/>
        <w:spacing w:before="177" w:after="106"/>
        <w:sectPr>
          <w:footerReference r:id="rId28" w:type="default"/>
          <w:pgSz w:w="11906" w:h="16838"/>
          <w:pgMar w:top="1440" w:right="1588" w:bottom="1191" w:left="1588" w:header="850" w:footer="992" w:gutter="0"/>
          <w:cols w:space="425" w:num="1"/>
          <w:docGrid w:type="lines" w:linePitch="354" w:charSpace="0"/>
        </w:sectPr>
      </w:pPr>
      <w:bookmarkStart w:id="107" w:name="_Toc499059489"/>
      <w:bookmarkStart w:id="108" w:name="_Toc502699379"/>
      <w:bookmarkStart w:id="109" w:name="_Toc499060226"/>
    </w:p>
    <w:p>
      <w:pPr>
        <w:pStyle w:val="2"/>
        <w:spacing w:before="177" w:after="106"/>
        <w:rPr>
          <w:color w:val="3E3E3E"/>
        </w:rPr>
      </w:pPr>
      <w:r>
        <w:t>9验收监测结果</w:t>
      </w:r>
      <w:bookmarkEnd w:id="107"/>
      <w:bookmarkEnd w:id="108"/>
      <w:bookmarkEnd w:id="109"/>
    </w:p>
    <w:p>
      <w:pPr>
        <w:pStyle w:val="3"/>
        <w:spacing w:before="70" w:after="70"/>
        <w:rPr>
          <w:color w:val="3E3E3E"/>
        </w:rPr>
      </w:pPr>
      <w:bookmarkStart w:id="110" w:name="_Toc499059490"/>
      <w:bookmarkStart w:id="111" w:name="_Toc499060227"/>
      <w:bookmarkStart w:id="112" w:name="_Toc502699380"/>
      <w:r>
        <w:t>9.1生产工况</w:t>
      </w:r>
      <w:bookmarkEnd w:id="110"/>
      <w:bookmarkEnd w:id="111"/>
      <w:bookmarkEnd w:id="112"/>
    </w:p>
    <w:p>
      <w:pPr>
        <w:widowControl/>
        <w:shd w:val="clear" w:color="auto" w:fill="FFFFFF"/>
        <w:ind w:firstLine="520"/>
        <w:rPr>
          <w:color w:val="000000"/>
          <w:kern w:val="0"/>
          <w:szCs w:val="26"/>
        </w:rPr>
      </w:pPr>
      <w:r>
        <w:rPr>
          <w:color w:val="000000"/>
          <w:kern w:val="0"/>
          <w:szCs w:val="26"/>
        </w:rPr>
        <w:t>本次验收监测于2017年12月</w:t>
      </w:r>
      <w:r>
        <w:rPr>
          <w:rFonts w:hint="eastAsia"/>
          <w:color w:val="000000"/>
          <w:kern w:val="0"/>
          <w:szCs w:val="26"/>
        </w:rPr>
        <w:t>21</w:t>
      </w:r>
      <w:r>
        <w:rPr>
          <w:color w:val="000000"/>
          <w:kern w:val="0"/>
          <w:szCs w:val="26"/>
        </w:rPr>
        <w:t>日、</w:t>
      </w:r>
      <w:r>
        <w:rPr>
          <w:rFonts w:hint="eastAsia"/>
          <w:color w:val="000000"/>
          <w:kern w:val="0"/>
          <w:szCs w:val="26"/>
        </w:rPr>
        <w:t>22</w:t>
      </w:r>
      <w:r>
        <w:rPr>
          <w:color w:val="000000"/>
          <w:kern w:val="0"/>
          <w:szCs w:val="26"/>
        </w:rPr>
        <w:t>日进行，监测期间生产负荷进行了查验，汇总情况如下：</w:t>
      </w:r>
    </w:p>
    <w:p>
      <w:pPr>
        <w:widowControl/>
        <w:shd w:val="clear" w:color="auto" w:fill="FFFFFF"/>
        <w:jc w:val="center"/>
        <w:rPr>
          <w:color w:val="000000"/>
          <w:kern w:val="0"/>
          <w:szCs w:val="26"/>
        </w:rPr>
      </w:pPr>
      <w:r>
        <w:rPr>
          <w:rFonts w:hint="eastAsia"/>
          <w:color w:val="000000"/>
          <w:kern w:val="0"/>
          <w:szCs w:val="26"/>
        </w:rPr>
        <w:t xml:space="preserve">  </w:t>
      </w:r>
      <w:r>
        <w:rPr>
          <w:color w:val="000000"/>
          <w:kern w:val="0"/>
          <w:szCs w:val="26"/>
        </w:rPr>
        <w:t>监测期间生产负荷核查情况</w:t>
      </w:r>
    </w:p>
    <w:tbl>
      <w:tblPr>
        <w:tblStyle w:val="48"/>
        <w:tblW w:w="878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2362"/>
        <w:gridCol w:w="2879"/>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trPr>
        <w:tc>
          <w:tcPr>
            <w:tcW w:w="2316" w:type="dxa"/>
            <w:vAlign w:val="center"/>
          </w:tcPr>
          <w:p>
            <w:pPr>
              <w:spacing w:line="240" w:lineRule="auto"/>
              <w:jc w:val="center"/>
              <w:rPr>
                <w:sz w:val="22"/>
              </w:rPr>
            </w:pPr>
            <w:r>
              <w:rPr>
                <w:sz w:val="22"/>
              </w:rPr>
              <w:t>监测日期</w:t>
            </w:r>
          </w:p>
        </w:tc>
        <w:tc>
          <w:tcPr>
            <w:tcW w:w="2362" w:type="dxa"/>
            <w:vAlign w:val="center"/>
          </w:tcPr>
          <w:p>
            <w:pPr>
              <w:spacing w:line="240" w:lineRule="auto"/>
              <w:jc w:val="center"/>
              <w:rPr>
                <w:sz w:val="22"/>
              </w:rPr>
            </w:pPr>
            <w:r>
              <w:rPr>
                <w:sz w:val="22"/>
              </w:rPr>
              <w:t>设计</w:t>
            </w:r>
            <w:r>
              <w:rPr>
                <w:rFonts w:hint="eastAsia"/>
                <w:sz w:val="22"/>
              </w:rPr>
              <w:t>产量</w:t>
            </w:r>
          </w:p>
        </w:tc>
        <w:tc>
          <w:tcPr>
            <w:tcW w:w="2879" w:type="dxa"/>
            <w:vAlign w:val="center"/>
          </w:tcPr>
          <w:p>
            <w:pPr>
              <w:spacing w:line="240" w:lineRule="auto"/>
              <w:jc w:val="center"/>
              <w:rPr>
                <w:sz w:val="22"/>
              </w:rPr>
            </w:pPr>
            <w:r>
              <w:rPr>
                <w:sz w:val="22"/>
              </w:rPr>
              <w:t>监测期间</w:t>
            </w:r>
            <w:r>
              <w:rPr>
                <w:rFonts w:hint="eastAsia"/>
                <w:sz w:val="22"/>
              </w:rPr>
              <w:t>产量</w:t>
            </w:r>
          </w:p>
        </w:tc>
        <w:tc>
          <w:tcPr>
            <w:tcW w:w="1232" w:type="dxa"/>
            <w:vAlign w:val="center"/>
          </w:tcPr>
          <w:p>
            <w:pPr>
              <w:spacing w:line="240" w:lineRule="auto"/>
              <w:jc w:val="center"/>
              <w:rPr>
                <w:sz w:val="22"/>
              </w:rPr>
            </w:pPr>
            <w:r>
              <w:rPr>
                <w:sz w:val="22"/>
              </w:rPr>
              <w:t>负荷比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16" w:type="dxa"/>
            <w:vMerge w:val="restart"/>
            <w:vAlign w:val="center"/>
          </w:tcPr>
          <w:p>
            <w:pPr>
              <w:spacing w:line="240" w:lineRule="auto"/>
              <w:jc w:val="center"/>
              <w:rPr>
                <w:sz w:val="22"/>
              </w:rPr>
            </w:pPr>
            <w:r>
              <w:rPr>
                <w:sz w:val="22"/>
              </w:rPr>
              <w:t>2017.12.</w:t>
            </w:r>
            <w:r>
              <w:rPr>
                <w:rFonts w:hint="eastAsia"/>
                <w:sz w:val="22"/>
              </w:rPr>
              <w:t>21~</w:t>
            </w:r>
            <w:r>
              <w:rPr>
                <w:sz w:val="22"/>
              </w:rPr>
              <w:t>2017.12.</w:t>
            </w:r>
            <w:r>
              <w:rPr>
                <w:rFonts w:hint="eastAsia"/>
                <w:sz w:val="22"/>
              </w:rPr>
              <w:t>22</w:t>
            </w:r>
          </w:p>
        </w:tc>
        <w:tc>
          <w:tcPr>
            <w:tcW w:w="2362" w:type="dxa"/>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sz w:val="22"/>
                <w:szCs w:val="22"/>
              </w:rPr>
              <w:t>石膏贴面板</w:t>
            </w:r>
            <w:r>
              <w:rPr>
                <w:rStyle w:val="121"/>
                <w:rFonts w:hint="eastAsia" w:ascii="Times New Roman" w:cs="Times New Roman" w:hAnsiTheme="minorEastAsia" w:eastAsiaTheme="minorEastAsia"/>
                <w:sz w:val="22"/>
                <w:szCs w:val="22"/>
              </w:rPr>
              <w:t>28</w:t>
            </w:r>
            <w:r>
              <w:rPr>
                <w:rStyle w:val="121"/>
                <w:rFonts w:ascii="Times New Roman" w:cs="Times New Roman" w:hAnsiTheme="minorEastAsia" w:eastAsiaTheme="minorEastAsia"/>
                <w:sz w:val="22"/>
                <w:szCs w:val="22"/>
              </w:rPr>
              <w:t>万</w:t>
            </w:r>
            <w:r>
              <w:rPr>
                <w:rStyle w:val="122"/>
                <w:rFonts w:eastAsiaTheme="minorEastAsia"/>
                <w:b w:val="0"/>
                <w:sz w:val="22"/>
                <w:szCs w:val="22"/>
              </w:rPr>
              <w:t>m</w:t>
            </w:r>
            <w:r>
              <w:rPr>
                <w:rStyle w:val="122"/>
                <w:rFonts w:eastAsiaTheme="minorEastAsia"/>
                <w:b w:val="0"/>
                <w:sz w:val="22"/>
                <w:szCs w:val="22"/>
                <w:vertAlign w:val="superscript"/>
              </w:rPr>
              <w:t>2</w:t>
            </w:r>
            <w:r>
              <w:rPr>
                <w:rStyle w:val="122"/>
                <w:rFonts w:eastAsiaTheme="minorEastAsia"/>
                <w:b w:val="0"/>
                <w:sz w:val="22"/>
                <w:szCs w:val="22"/>
              </w:rPr>
              <w:t>/a</w:t>
            </w:r>
          </w:p>
        </w:tc>
        <w:tc>
          <w:tcPr>
            <w:tcW w:w="2879" w:type="dxa"/>
            <w:vAlign w:val="center"/>
          </w:tcPr>
          <w:p>
            <w:pPr>
              <w:spacing w:line="240" w:lineRule="auto"/>
              <w:jc w:val="center"/>
              <w:rPr>
                <w:sz w:val="22"/>
              </w:rPr>
            </w:pPr>
            <w:r>
              <w:rPr>
                <w:rFonts w:hint="eastAsia"/>
                <w:sz w:val="22"/>
              </w:rPr>
              <w:t>825</w:t>
            </w:r>
            <w:r>
              <w:rPr>
                <w:rStyle w:val="122"/>
                <w:rFonts w:eastAsiaTheme="minorEastAsia"/>
                <w:b w:val="0"/>
                <w:sz w:val="22"/>
                <w:szCs w:val="22"/>
              </w:rPr>
              <w:t>m</w:t>
            </w:r>
            <w:r>
              <w:rPr>
                <w:rStyle w:val="122"/>
                <w:rFonts w:eastAsiaTheme="minorEastAsia"/>
                <w:b w:val="0"/>
                <w:sz w:val="22"/>
                <w:szCs w:val="22"/>
                <w:vertAlign w:val="superscript"/>
              </w:rPr>
              <w:t>2</w:t>
            </w:r>
            <w:r>
              <w:rPr>
                <w:rStyle w:val="122"/>
                <w:rFonts w:eastAsiaTheme="minorEastAsia"/>
                <w:b w:val="0"/>
                <w:sz w:val="22"/>
                <w:szCs w:val="22"/>
              </w:rPr>
              <w:t>/</w:t>
            </w:r>
            <w:r>
              <w:rPr>
                <w:rStyle w:val="122"/>
                <w:rFonts w:hint="eastAsia" w:eastAsiaTheme="minorEastAsia"/>
                <w:b w:val="0"/>
                <w:sz w:val="22"/>
                <w:szCs w:val="22"/>
              </w:rPr>
              <w:t>d</w:t>
            </w:r>
          </w:p>
        </w:tc>
        <w:tc>
          <w:tcPr>
            <w:tcW w:w="1232" w:type="dxa"/>
            <w:vAlign w:val="center"/>
          </w:tcPr>
          <w:p>
            <w:pPr>
              <w:spacing w:line="240" w:lineRule="auto"/>
              <w:jc w:val="center"/>
              <w:rPr>
                <w:sz w:val="22"/>
              </w:rPr>
            </w:pPr>
            <w:r>
              <w:rPr>
                <w:rFonts w:hint="eastAsia"/>
                <w:sz w:val="22"/>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16" w:type="dxa"/>
            <w:vMerge w:val="continue"/>
            <w:vAlign w:val="center"/>
          </w:tcPr>
          <w:p>
            <w:pPr>
              <w:spacing w:line="240" w:lineRule="auto"/>
              <w:jc w:val="center"/>
              <w:rPr>
                <w:sz w:val="22"/>
              </w:rPr>
            </w:pPr>
          </w:p>
        </w:tc>
        <w:tc>
          <w:tcPr>
            <w:tcW w:w="2362" w:type="dxa"/>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sz w:val="22"/>
                <w:szCs w:val="22"/>
              </w:rPr>
              <w:t>石膏线条</w:t>
            </w:r>
            <w:r>
              <w:rPr>
                <w:rStyle w:val="121"/>
                <w:rFonts w:hint="eastAsia" w:ascii="Times New Roman" w:cs="Times New Roman" w:hAnsiTheme="minorEastAsia" w:eastAsiaTheme="minorEastAsia"/>
                <w:sz w:val="22"/>
                <w:szCs w:val="22"/>
              </w:rPr>
              <w:t>80</w:t>
            </w:r>
            <w:r>
              <w:rPr>
                <w:rStyle w:val="121"/>
                <w:rFonts w:ascii="Times New Roman" w:cs="Times New Roman" w:hAnsiTheme="minorEastAsia" w:eastAsiaTheme="minorEastAsia"/>
                <w:sz w:val="22"/>
                <w:szCs w:val="22"/>
              </w:rPr>
              <w:t>万根</w:t>
            </w:r>
            <w:r>
              <w:rPr>
                <w:rStyle w:val="121"/>
                <w:rFonts w:ascii="Times New Roman" w:cs="Times New Roman" w:hAnsiTheme="minorEastAsia" w:eastAsiaTheme="minorEastAsia"/>
                <w:bCs/>
                <w:sz w:val="22"/>
                <w:szCs w:val="22"/>
              </w:rPr>
              <w:t>/a</w:t>
            </w:r>
          </w:p>
        </w:tc>
        <w:tc>
          <w:tcPr>
            <w:tcW w:w="2879" w:type="dxa"/>
            <w:vAlign w:val="center"/>
          </w:tcPr>
          <w:p>
            <w:pPr>
              <w:spacing w:line="240" w:lineRule="auto"/>
              <w:jc w:val="center"/>
              <w:rPr>
                <w:sz w:val="22"/>
              </w:rPr>
            </w:pPr>
            <w:r>
              <w:rPr>
                <w:rFonts w:hint="eastAsia"/>
                <w:sz w:val="22"/>
              </w:rPr>
              <w:t>2110</w:t>
            </w:r>
            <w:r>
              <w:rPr>
                <w:rStyle w:val="121"/>
                <w:rFonts w:ascii="Times New Roman" w:cs="Times New Roman" w:hAnsiTheme="minorEastAsia" w:eastAsiaTheme="minorEastAsia"/>
                <w:sz w:val="22"/>
                <w:szCs w:val="22"/>
              </w:rPr>
              <w:t>根</w:t>
            </w:r>
            <w:r>
              <w:rPr>
                <w:rStyle w:val="121"/>
                <w:rFonts w:hint="eastAsia" w:ascii="Times New Roman" w:cs="Times New Roman" w:hAnsiTheme="minorEastAsia" w:eastAsiaTheme="minorEastAsia"/>
                <w:sz w:val="22"/>
                <w:szCs w:val="22"/>
              </w:rPr>
              <w:t>/d</w:t>
            </w:r>
          </w:p>
        </w:tc>
        <w:tc>
          <w:tcPr>
            <w:tcW w:w="1232" w:type="dxa"/>
            <w:vAlign w:val="center"/>
          </w:tcPr>
          <w:p>
            <w:pPr>
              <w:jc w:val="center"/>
              <w:rPr>
                <w:sz w:val="22"/>
              </w:rPr>
            </w:pPr>
            <w:r>
              <w:rPr>
                <w:rFonts w:hint="eastAsia"/>
                <w:sz w:val="22"/>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16" w:type="dxa"/>
            <w:vMerge w:val="continue"/>
            <w:vAlign w:val="center"/>
          </w:tcPr>
          <w:p>
            <w:pPr>
              <w:spacing w:line="240" w:lineRule="auto"/>
              <w:jc w:val="center"/>
              <w:rPr>
                <w:sz w:val="22"/>
              </w:rPr>
            </w:pPr>
          </w:p>
        </w:tc>
        <w:tc>
          <w:tcPr>
            <w:tcW w:w="2362" w:type="dxa"/>
            <w:vAlign w:val="center"/>
          </w:tcPr>
          <w:p>
            <w:pPr>
              <w:pStyle w:val="120"/>
              <w:shd w:val="clear" w:color="auto" w:fill="auto"/>
              <w:spacing w:line="240" w:lineRule="auto"/>
              <w:jc w:val="center"/>
              <w:rPr>
                <w:rFonts w:ascii="Times New Roman" w:hAnsi="Times New Roman" w:cs="Times New Roman" w:eastAsiaTheme="minorEastAsia"/>
              </w:rPr>
            </w:pPr>
            <w:r>
              <w:rPr>
                <w:rStyle w:val="121"/>
                <w:rFonts w:ascii="Times New Roman" w:cs="Times New Roman" w:hAnsiTheme="minorEastAsia" w:eastAsiaTheme="minorEastAsia"/>
                <w:sz w:val="22"/>
                <w:szCs w:val="22"/>
              </w:rPr>
              <w:t>机械设备台</w:t>
            </w:r>
            <w:r>
              <w:rPr>
                <w:rStyle w:val="122"/>
                <w:rFonts w:eastAsiaTheme="minorEastAsia"/>
                <w:b w:val="0"/>
                <w:sz w:val="22"/>
                <w:szCs w:val="22"/>
                <w:lang w:val="zh-TW"/>
              </w:rPr>
              <w:t>30</w:t>
            </w:r>
            <w:r>
              <w:rPr>
                <w:rStyle w:val="122"/>
                <w:rFonts w:eastAsiaTheme="minorEastAsia"/>
                <w:b w:val="0"/>
                <w:sz w:val="22"/>
                <w:szCs w:val="22"/>
              </w:rPr>
              <w:t>/a</w:t>
            </w:r>
          </w:p>
        </w:tc>
        <w:tc>
          <w:tcPr>
            <w:tcW w:w="2879" w:type="dxa"/>
            <w:vAlign w:val="center"/>
          </w:tcPr>
          <w:p>
            <w:pPr>
              <w:pStyle w:val="120"/>
              <w:shd w:val="clear" w:color="auto" w:fill="auto"/>
              <w:spacing w:line="240" w:lineRule="auto"/>
              <w:jc w:val="center"/>
            </w:pPr>
            <w:r>
              <w:rPr>
                <w:rStyle w:val="121"/>
                <w:rFonts w:hint="eastAsia" w:ascii="Times New Roman" w:cs="Times New Roman" w:hAnsiTheme="minorEastAsia" w:eastAsiaTheme="minorEastAsia"/>
                <w:sz w:val="22"/>
                <w:szCs w:val="22"/>
              </w:rPr>
              <w:t>仅进行配件加工，设备运行数量80%</w:t>
            </w:r>
          </w:p>
        </w:tc>
        <w:tc>
          <w:tcPr>
            <w:tcW w:w="1232" w:type="dxa"/>
            <w:vAlign w:val="center"/>
          </w:tcPr>
          <w:p>
            <w:pPr>
              <w:spacing w:line="240" w:lineRule="auto"/>
              <w:jc w:val="center"/>
              <w:rPr>
                <w:sz w:val="22"/>
              </w:rPr>
            </w:pPr>
            <w:r>
              <w:rPr>
                <w:rFonts w:hint="eastAsia"/>
                <w:sz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789" w:type="dxa"/>
            <w:gridSpan w:val="4"/>
          </w:tcPr>
          <w:p>
            <w:pPr>
              <w:spacing w:line="240" w:lineRule="auto"/>
              <w:rPr>
                <w:sz w:val="22"/>
              </w:rPr>
            </w:pPr>
            <w:r>
              <w:rPr>
                <w:rFonts w:hint="eastAsia"/>
                <w:sz w:val="22"/>
              </w:rPr>
              <w:t>备注：年生产300天，2400小时。</w:t>
            </w:r>
          </w:p>
        </w:tc>
      </w:tr>
    </w:tbl>
    <w:p>
      <w:pPr>
        <w:spacing w:beforeLines="50"/>
        <w:ind w:firstLine="522"/>
        <w:rPr>
          <w:kern w:val="0"/>
        </w:rPr>
      </w:pPr>
      <w:bookmarkStart w:id="113" w:name="_Toc499060229"/>
      <w:bookmarkStart w:id="114" w:name="_Toc499059492"/>
      <w:r>
        <w:rPr>
          <w:kern w:val="0"/>
        </w:rPr>
        <w:t>监测期间生产负荷为</w:t>
      </w:r>
      <w:r>
        <w:rPr>
          <w:rFonts w:hint="eastAsia"/>
          <w:kern w:val="0"/>
        </w:rPr>
        <w:t>79~88</w:t>
      </w:r>
      <w:r>
        <w:rPr>
          <w:kern w:val="0"/>
        </w:rPr>
        <w:t>%，环保设施正常运行，</w:t>
      </w:r>
      <w:r>
        <w:rPr>
          <w:rFonts w:hint="eastAsia"/>
          <w:kern w:val="0"/>
        </w:rPr>
        <w:t>能够满足建设项目竣工环境保护验收监测对生产工况的要求</w:t>
      </w:r>
      <w:r>
        <w:rPr>
          <w:kern w:val="0"/>
        </w:rPr>
        <w:t>。</w:t>
      </w:r>
      <w:bookmarkEnd w:id="113"/>
      <w:bookmarkEnd w:id="114"/>
    </w:p>
    <w:p>
      <w:pPr>
        <w:pStyle w:val="3"/>
        <w:spacing w:before="70" w:after="70"/>
        <w:rPr>
          <w:color w:val="3E3E3E"/>
        </w:rPr>
      </w:pPr>
      <w:bookmarkStart w:id="115" w:name="_Toc499060228"/>
      <w:bookmarkStart w:id="116" w:name="_Toc502699381"/>
      <w:bookmarkStart w:id="117" w:name="_Toc499059491"/>
      <w:r>
        <w:t>9.2环境保设施调试效果</w:t>
      </w:r>
      <w:bookmarkEnd w:id="115"/>
      <w:bookmarkEnd w:id="116"/>
      <w:bookmarkEnd w:id="117"/>
    </w:p>
    <w:p>
      <w:pPr>
        <w:pStyle w:val="4"/>
        <w:spacing w:before="70"/>
        <w:rPr>
          <w:color w:val="3E3E3E"/>
        </w:rPr>
      </w:pPr>
      <w:bookmarkStart w:id="118" w:name="_Toc499059493"/>
      <w:bookmarkStart w:id="119" w:name="_Toc499060230"/>
      <w:r>
        <w:t>9.2.1污染物达标排放监测结果</w:t>
      </w:r>
      <w:bookmarkEnd w:id="118"/>
      <w:bookmarkEnd w:id="119"/>
    </w:p>
    <w:p>
      <w:pPr>
        <w:pStyle w:val="5"/>
        <w:ind w:firstLine="560"/>
        <w:rPr>
          <w:color w:val="3E3E3E"/>
        </w:rPr>
      </w:pPr>
      <w:r>
        <w:t>9.2.1.</w:t>
      </w:r>
      <w:r>
        <w:rPr>
          <w:rFonts w:hint="eastAsia"/>
        </w:rPr>
        <w:t>1</w:t>
      </w:r>
      <w:r>
        <w:t>废气</w:t>
      </w:r>
    </w:p>
    <w:p>
      <w:pPr>
        <w:widowControl/>
        <w:shd w:val="clear" w:color="auto" w:fill="FFFFFF"/>
        <w:ind w:firstLine="520"/>
        <w:rPr>
          <w:color w:val="000000"/>
          <w:kern w:val="0"/>
          <w:szCs w:val="26"/>
        </w:rPr>
      </w:pPr>
      <w:r>
        <w:rPr>
          <w:rFonts w:hint="eastAsia"/>
          <w:color w:val="000000"/>
          <w:kern w:val="0"/>
          <w:szCs w:val="26"/>
        </w:rPr>
        <w:t>该项目有</w:t>
      </w:r>
      <w:r>
        <w:rPr>
          <w:color w:val="000000"/>
          <w:kern w:val="0"/>
          <w:szCs w:val="26"/>
        </w:rPr>
        <w:t>组织排放监测结果</w:t>
      </w:r>
      <w:r>
        <w:rPr>
          <w:rFonts w:hint="eastAsia"/>
          <w:color w:val="000000"/>
          <w:kern w:val="0"/>
          <w:szCs w:val="26"/>
        </w:rPr>
        <w:t>见表9-1，无组织</w:t>
      </w:r>
      <w:r>
        <w:rPr>
          <w:color w:val="000000"/>
          <w:kern w:val="0"/>
          <w:szCs w:val="26"/>
        </w:rPr>
        <w:t>排放监测结果</w:t>
      </w:r>
      <w:r>
        <w:rPr>
          <w:rFonts w:hint="eastAsia"/>
          <w:color w:val="000000"/>
          <w:kern w:val="0"/>
          <w:szCs w:val="26"/>
        </w:rPr>
        <w:t>见表9-2</w:t>
      </w:r>
      <w:r>
        <w:rPr>
          <w:color w:val="000000"/>
          <w:kern w:val="0"/>
          <w:szCs w:val="26"/>
        </w:rPr>
        <w:t>。</w:t>
      </w:r>
    </w:p>
    <w:p>
      <w:pPr>
        <w:widowControl/>
        <w:shd w:val="clear" w:color="auto" w:fill="FFFFFF"/>
        <w:ind w:firstLine="520"/>
        <w:rPr>
          <w:color w:val="3E3E3E"/>
          <w:kern w:val="0"/>
          <w:szCs w:val="26"/>
        </w:rPr>
        <w:sectPr>
          <w:pgSz w:w="11906" w:h="16838"/>
          <w:pgMar w:top="1440" w:right="1588" w:bottom="1191" w:left="1588" w:header="850" w:footer="992" w:gutter="0"/>
          <w:cols w:space="425" w:num="1"/>
          <w:docGrid w:type="lines" w:linePitch="354" w:charSpace="0"/>
        </w:sectPr>
      </w:pPr>
    </w:p>
    <w:p>
      <w:pPr>
        <w:widowControl/>
        <w:shd w:val="clear" w:color="auto" w:fill="FFFFFF"/>
        <w:spacing w:line="240" w:lineRule="auto"/>
        <w:jc w:val="center"/>
        <w:rPr>
          <w:color w:val="3E3E3E"/>
          <w:kern w:val="0"/>
          <w:sz w:val="24"/>
          <w:szCs w:val="26"/>
        </w:rPr>
      </w:pPr>
      <w:r>
        <w:rPr>
          <w:rFonts w:hint="eastAsia"/>
          <w:color w:val="3E3E3E"/>
          <w:kern w:val="0"/>
          <w:sz w:val="24"/>
          <w:szCs w:val="26"/>
        </w:rPr>
        <w:t>表9-1  有组织</w:t>
      </w:r>
      <w:r>
        <w:rPr>
          <w:color w:val="3E3E3E"/>
          <w:kern w:val="0"/>
          <w:sz w:val="24"/>
          <w:szCs w:val="26"/>
        </w:rPr>
        <w:t>废气监测数据一览表</w:t>
      </w:r>
    </w:p>
    <w:tbl>
      <w:tblPr>
        <w:tblStyle w:val="47"/>
        <w:tblW w:w="15121" w:type="dxa"/>
        <w:jc w:val="center"/>
        <w:tblInd w:w="-108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9"/>
        <w:gridCol w:w="1311"/>
        <w:gridCol w:w="1269"/>
        <w:gridCol w:w="911"/>
        <w:gridCol w:w="912"/>
        <w:gridCol w:w="911"/>
        <w:gridCol w:w="912"/>
        <w:gridCol w:w="1187"/>
        <w:gridCol w:w="1189"/>
        <w:gridCol w:w="1187"/>
        <w:gridCol w:w="1188"/>
        <w:gridCol w:w="1241"/>
        <w:gridCol w:w="1100"/>
        <w:gridCol w:w="8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3" w:hRule="atLeast"/>
          <w:jc w:val="center"/>
        </w:trPr>
        <w:tc>
          <w:tcPr>
            <w:tcW w:w="939" w:type="dxa"/>
            <w:vMerge w:val="restart"/>
            <w:vAlign w:val="center"/>
          </w:tcPr>
          <w:p>
            <w:pPr>
              <w:spacing w:line="240" w:lineRule="auto"/>
              <w:jc w:val="center"/>
              <w:rPr>
                <w:sz w:val="22"/>
              </w:rPr>
            </w:pPr>
            <w:r>
              <w:rPr>
                <w:rFonts w:hint="eastAsia"/>
                <w:sz w:val="22"/>
              </w:rPr>
              <w:t>设施</w:t>
            </w:r>
          </w:p>
        </w:tc>
        <w:tc>
          <w:tcPr>
            <w:tcW w:w="1311" w:type="dxa"/>
            <w:vMerge w:val="restart"/>
            <w:vAlign w:val="center"/>
          </w:tcPr>
          <w:p>
            <w:pPr>
              <w:spacing w:line="240" w:lineRule="auto"/>
              <w:jc w:val="center"/>
              <w:rPr>
                <w:sz w:val="22"/>
              </w:rPr>
            </w:pPr>
            <w:r>
              <w:rPr>
                <w:rFonts w:hint="eastAsia"/>
                <w:sz w:val="22"/>
              </w:rPr>
              <w:t>监测项目</w:t>
            </w:r>
          </w:p>
        </w:tc>
        <w:tc>
          <w:tcPr>
            <w:tcW w:w="1269" w:type="dxa"/>
            <w:vMerge w:val="restart"/>
            <w:vAlign w:val="center"/>
          </w:tcPr>
          <w:p>
            <w:pPr>
              <w:spacing w:line="240" w:lineRule="auto"/>
              <w:jc w:val="center"/>
              <w:rPr>
                <w:sz w:val="22"/>
              </w:rPr>
            </w:pPr>
            <w:r>
              <w:rPr>
                <w:rFonts w:hint="eastAsia"/>
                <w:sz w:val="22"/>
              </w:rPr>
              <w:t>监测日期</w:t>
            </w:r>
          </w:p>
        </w:tc>
        <w:tc>
          <w:tcPr>
            <w:tcW w:w="8397" w:type="dxa"/>
            <w:gridSpan w:val="8"/>
            <w:vAlign w:val="center"/>
          </w:tcPr>
          <w:p>
            <w:pPr>
              <w:spacing w:line="240" w:lineRule="auto"/>
              <w:jc w:val="center"/>
              <w:rPr>
                <w:sz w:val="22"/>
              </w:rPr>
            </w:pPr>
            <w:r>
              <w:rPr>
                <w:rFonts w:hint="eastAsia"/>
                <w:sz w:val="22"/>
              </w:rPr>
              <w:t>监测结果</w:t>
            </w:r>
          </w:p>
        </w:tc>
        <w:tc>
          <w:tcPr>
            <w:tcW w:w="2341" w:type="dxa"/>
            <w:gridSpan w:val="2"/>
            <w:vAlign w:val="center"/>
          </w:tcPr>
          <w:p>
            <w:pPr>
              <w:spacing w:line="240" w:lineRule="auto"/>
              <w:jc w:val="center"/>
              <w:rPr>
                <w:sz w:val="22"/>
              </w:rPr>
            </w:pPr>
            <w:r>
              <w:rPr>
                <w:rFonts w:hint="eastAsia"/>
                <w:sz w:val="22"/>
              </w:rPr>
              <w:t>执行标准值</w:t>
            </w:r>
          </w:p>
        </w:tc>
        <w:tc>
          <w:tcPr>
            <w:tcW w:w="864" w:type="dxa"/>
            <w:vMerge w:val="restart"/>
            <w:vAlign w:val="center"/>
          </w:tcPr>
          <w:p>
            <w:pPr>
              <w:spacing w:line="240" w:lineRule="auto"/>
              <w:jc w:val="center"/>
              <w:rPr>
                <w:sz w:val="22"/>
              </w:rPr>
            </w:pPr>
            <w:r>
              <w:rPr>
                <w:spacing w:val="-6"/>
                <w:sz w:val="22"/>
              </w:rPr>
              <w:t>高度/内径（m）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3" w:hRule="atLeast"/>
          <w:jc w:val="center"/>
        </w:trPr>
        <w:tc>
          <w:tcPr>
            <w:tcW w:w="939" w:type="dxa"/>
            <w:vMerge w:val="continue"/>
            <w:vAlign w:val="center"/>
          </w:tcPr>
          <w:p>
            <w:pPr>
              <w:spacing w:line="240" w:lineRule="auto"/>
              <w:jc w:val="center"/>
              <w:rPr>
                <w:sz w:val="22"/>
              </w:rPr>
            </w:pPr>
          </w:p>
        </w:tc>
        <w:tc>
          <w:tcPr>
            <w:tcW w:w="1311" w:type="dxa"/>
            <w:vMerge w:val="continue"/>
          </w:tcPr>
          <w:p>
            <w:pPr>
              <w:spacing w:line="240" w:lineRule="auto"/>
              <w:jc w:val="center"/>
              <w:rPr>
                <w:sz w:val="22"/>
              </w:rPr>
            </w:pPr>
          </w:p>
        </w:tc>
        <w:tc>
          <w:tcPr>
            <w:tcW w:w="1269" w:type="dxa"/>
            <w:vMerge w:val="continue"/>
            <w:vAlign w:val="center"/>
          </w:tcPr>
          <w:p>
            <w:pPr>
              <w:spacing w:line="240" w:lineRule="auto"/>
              <w:jc w:val="center"/>
              <w:rPr>
                <w:sz w:val="22"/>
              </w:rPr>
            </w:pPr>
          </w:p>
        </w:tc>
        <w:tc>
          <w:tcPr>
            <w:tcW w:w="3646" w:type="dxa"/>
            <w:gridSpan w:val="4"/>
            <w:vAlign w:val="center"/>
          </w:tcPr>
          <w:p>
            <w:pPr>
              <w:spacing w:line="240" w:lineRule="auto"/>
              <w:jc w:val="center"/>
              <w:rPr>
                <w:sz w:val="22"/>
              </w:rPr>
            </w:pPr>
            <w:r>
              <w:rPr>
                <w:rFonts w:hint="eastAsia"/>
                <w:sz w:val="22"/>
              </w:rPr>
              <w:t>排放浓度</w:t>
            </w:r>
            <w:r>
              <w:rPr>
                <w:sz w:val="22"/>
              </w:rPr>
              <w:t>（mg/m</w:t>
            </w:r>
            <w:r>
              <w:rPr>
                <w:sz w:val="22"/>
                <w:vertAlign w:val="superscript"/>
              </w:rPr>
              <w:t>3</w:t>
            </w:r>
            <w:r>
              <w:rPr>
                <w:sz w:val="22"/>
              </w:rPr>
              <w:t>）</w:t>
            </w:r>
          </w:p>
        </w:tc>
        <w:tc>
          <w:tcPr>
            <w:tcW w:w="4751" w:type="dxa"/>
            <w:gridSpan w:val="4"/>
            <w:vAlign w:val="center"/>
          </w:tcPr>
          <w:p>
            <w:pPr>
              <w:spacing w:line="240" w:lineRule="auto"/>
              <w:jc w:val="center"/>
              <w:rPr>
                <w:sz w:val="22"/>
              </w:rPr>
            </w:pPr>
            <w:r>
              <w:rPr>
                <w:rFonts w:hint="eastAsia"/>
                <w:sz w:val="22"/>
              </w:rPr>
              <w:t>排放速率</w:t>
            </w:r>
            <w:r>
              <w:rPr>
                <w:sz w:val="22"/>
              </w:rPr>
              <w:t>（</w:t>
            </w:r>
            <w:r>
              <w:rPr>
                <w:rFonts w:hint="eastAsia"/>
                <w:sz w:val="22"/>
              </w:rPr>
              <w:t>kg</w:t>
            </w:r>
            <w:r>
              <w:rPr>
                <w:sz w:val="22"/>
              </w:rPr>
              <w:t>/</w:t>
            </w:r>
            <w:r>
              <w:rPr>
                <w:rFonts w:hint="eastAsia"/>
                <w:sz w:val="22"/>
              </w:rPr>
              <w:t>h</w:t>
            </w:r>
            <w:r>
              <w:rPr>
                <w:sz w:val="22"/>
              </w:rPr>
              <w:t>）</w:t>
            </w:r>
          </w:p>
        </w:tc>
        <w:tc>
          <w:tcPr>
            <w:tcW w:w="1241" w:type="dxa"/>
            <w:vMerge w:val="restart"/>
            <w:vAlign w:val="center"/>
          </w:tcPr>
          <w:p>
            <w:pPr>
              <w:spacing w:line="240" w:lineRule="auto"/>
              <w:jc w:val="center"/>
              <w:rPr>
                <w:sz w:val="22"/>
              </w:rPr>
            </w:pPr>
            <w:r>
              <w:rPr>
                <w:rFonts w:hint="eastAsia"/>
                <w:sz w:val="22"/>
              </w:rPr>
              <w:t>排放浓度</w:t>
            </w:r>
            <w:r>
              <w:rPr>
                <w:sz w:val="22"/>
              </w:rPr>
              <w:t>（mg/m</w:t>
            </w:r>
            <w:r>
              <w:rPr>
                <w:sz w:val="22"/>
                <w:vertAlign w:val="superscript"/>
              </w:rPr>
              <w:t>3</w:t>
            </w:r>
            <w:r>
              <w:rPr>
                <w:sz w:val="22"/>
              </w:rPr>
              <w:t>）</w:t>
            </w:r>
          </w:p>
        </w:tc>
        <w:tc>
          <w:tcPr>
            <w:tcW w:w="1100" w:type="dxa"/>
            <w:vMerge w:val="restart"/>
            <w:vAlign w:val="center"/>
          </w:tcPr>
          <w:p>
            <w:pPr>
              <w:spacing w:line="240" w:lineRule="auto"/>
              <w:jc w:val="center"/>
              <w:rPr>
                <w:sz w:val="22"/>
              </w:rPr>
            </w:pPr>
            <w:r>
              <w:rPr>
                <w:rFonts w:hint="eastAsia"/>
                <w:sz w:val="22"/>
              </w:rPr>
              <w:t>排放速率</w:t>
            </w:r>
            <w:r>
              <w:rPr>
                <w:sz w:val="22"/>
              </w:rPr>
              <w:t>（kg/h）</w:t>
            </w:r>
          </w:p>
        </w:tc>
        <w:tc>
          <w:tcPr>
            <w:tcW w:w="864" w:type="dxa"/>
            <w:vMerge w:val="continue"/>
            <w:vAlign w:val="center"/>
          </w:tcPr>
          <w:p>
            <w:pPr>
              <w:spacing w:line="240" w:lineRule="auto"/>
              <w:jc w:val="center"/>
              <w:rPr>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3" w:hRule="atLeast"/>
          <w:jc w:val="center"/>
        </w:trPr>
        <w:tc>
          <w:tcPr>
            <w:tcW w:w="939" w:type="dxa"/>
            <w:vMerge w:val="continue"/>
            <w:vAlign w:val="center"/>
          </w:tcPr>
          <w:p>
            <w:pPr>
              <w:spacing w:line="240" w:lineRule="auto"/>
              <w:jc w:val="center"/>
              <w:rPr>
                <w:sz w:val="22"/>
              </w:rPr>
            </w:pPr>
          </w:p>
        </w:tc>
        <w:tc>
          <w:tcPr>
            <w:tcW w:w="1311" w:type="dxa"/>
            <w:vMerge w:val="continue"/>
          </w:tcPr>
          <w:p>
            <w:pPr>
              <w:spacing w:line="240" w:lineRule="auto"/>
              <w:jc w:val="center"/>
              <w:rPr>
                <w:sz w:val="22"/>
              </w:rPr>
            </w:pPr>
          </w:p>
        </w:tc>
        <w:tc>
          <w:tcPr>
            <w:tcW w:w="1269" w:type="dxa"/>
            <w:vMerge w:val="continue"/>
            <w:vAlign w:val="center"/>
          </w:tcPr>
          <w:p>
            <w:pPr>
              <w:spacing w:line="240" w:lineRule="auto"/>
              <w:jc w:val="center"/>
              <w:rPr>
                <w:sz w:val="22"/>
              </w:rPr>
            </w:pPr>
          </w:p>
        </w:tc>
        <w:tc>
          <w:tcPr>
            <w:tcW w:w="911" w:type="dxa"/>
            <w:vAlign w:val="center"/>
          </w:tcPr>
          <w:p>
            <w:pPr>
              <w:spacing w:line="240" w:lineRule="auto"/>
              <w:jc w:val="center"/>
              <w:rPr>
                <w:sz w:val="22"/>
              </w:rPr>
            </w:pPr>
            <w:r>
              <w:rPr>
                <w:rFonts w:hint="eastAsia"/>
                <w:sz w:val="22"/>
              </w:rPr>
              <w:t>1</w:t>
            </w:r>
          </w:p>
        </w:tc>
        <w:tc>
          <w:tcPr>
            <w:tcW w:w="912" w:type="dxa"/>
            <w:vAlign w:val="center"/>
          </w:tcPr>
          <w:p>
            <w:pPr>
              <w:spacing w:line="240" w:lineRule="auto"/>
              <w:jc w:val="center"/>
              <w:rPr>
                <w:sz w:val="22"/>
              </w:rPr>
            </w:pPr>
            <w:r>
              <w:rPr>
                <w:rFonts w:hint="eastAsia"/>
                <w:sz w:val="22"/>
              </w:rPr>
              <w:t>2</w:t>
            </w:r>
          </w:p>
        </w:tc>
        <w:tc>
          <w:tcPr>
            <w:tcW w:w="911" w:type="dxa"/>
            <w:vAlign w:val="center"/>
          </w:tcPr>
          <w:p>
            <w:pPr>
              <w:spacing w:line="240" w:lineRule="auto"/>
              <w:jc w:val="center"/>
              <w:rPr>
                <w:sz w:val="22"/>
              </w:rPr>
            </w:pPr>
            <w:r>
              <w:rPr>
                <w:rFonts w:hint="eastAsia"/>
                <w:sz w:val="22"/>
              </w:rPr>
              <w:t>3</w:t>
            </w:r>
          </w:p>
        </w:tc>
        <w:tc>
          <w:tcPr>
            <w:tcW w:w="912" w:type="dxa"/>
            <w:vAlign w:val="center"/>
          </w:tcPr>
          <w:p>
            <w:pPr>
              <w:spacing w:line="240" w:lineRule="auto"/>
              <w:jc w:val="center"/>
              <w:rPr>
                <w:sz w:val="22"/>
              </w:rPr>
            </w:pPr>
            <w:r>
              <w:rPr>
                <w:rFonts w:hint="eastAsia"/>
                <w:sz w:val="22"/>
              </w:rPr>
              <w:t>均值</w:t>
            </w:r>
          </w:p>
        </w:tc>
        <w:tc>
          <w:tcPr>
            <w:tcW w:w="1187" w:type="dxa"/>
            <w:vAlign w:val="center"/>
          </w:tcPr>
          <w:p>
            <w:pPr>
              <w:spacing w:line="240" w:lineRule="auto"/>
              <w:jc w:val="center"/>
              <w:rPr>
                <w:sz w:val="22"/>
              </w:rPr>
            </w:pPr>
            <w:r>
              <w:rPr>
                <w:rFonts w:hint="eastAsia"/>
                <w:sz w:val="22"/>
              </w:rPr>
              <w:t>1</w:t>
            </w:r>
          </w:p>
        </w:tc>
        <w:tc>
          <w:tcPr>
            <w:tcW w:w="1189" w:type="dxa"/>
            <w:vAlign w:val="center"/>
          </w:tcPr>
          <w:p>
            <w:pPr>
              <w:spacing w:line="240" w:lineRule="auto"/>
              <w:jc w:val="center"/>
              <w:rPr>
                <w:sz w:val="22"/>
              </w:rPr>
            </w:pPr>
            <w:r>
              <w:rPr>
                <w:rFonts w:hint="eastAsia"/>
                <w:sz w:val="22"/>
              </w:rPr>
              <w:t>2</w:t>
            </w:r>
          </w:p>
        </w:tc>
        <w:tc>
          <w:tcPr>
            <w:tcW w:w="1187" w:type="dxa"/>
            <w:vAlign w:val="center"/>
          </w:tcPr>
          <w:p>
            <w:pPr>
              <w:spacing w:line="240" w:lineRule="auto"/>
              <w:jc w:val="center"/>
              <w:rPr>
                <w:sz w:val="22"/>
              </w:rPr>
            </w:pPr>
            <w:r>
              <w:rPr>
                <w:rFonts w:hint="eastAsia"/>
                <w:sz w:val="22"/>
              </w:rPr>
              <w:t>3</w:t>
            </w:r>
          </w:p>
        </w:tc>
        <w:tc>
          <w:tcPr>
            <w:tcW w:w="1188" w:type="dxa"/>
            <w:vAlign w:val="center"/>
          </w:tcPr>
          <w:p>
            <w:pPr>
              <w:spacing w:line="240" w:lineRule="auto"/>
              <w:jc w:val="center"/>
              <w:rPr>
                <w:sz w:val="22"/>
              </w:rPr>
            </w:pPr>
            <w:r>
              <w:rPr>
                <w:rFonts w:hint="eastAsia"/>
                <w:sz w:val="22"/>
              </w:rPr>
              <w:t>均值</w:t>
            </w:r>
          </w:p>
        </w:tc>
        <w:tc>
          <w:tcPr>
            <w:tcW w:w="1241" w:type="dxa"/>
            <w:vMerge w:val="continue"/>
            <w:vAlign w:val="center"/>
          </w:tcPr>
          <w:p>
            <w:pPr>
              <w:spacing w:line="240" w:lineRule="auto"/>
              <w:jc w:val="center"/>
              <w:rPr>
                <w:sz w:val="22"/>
              </w:rPr>
            </w:pPr>
          </w:p>
        </w:tc>
        <w:tc>
          <w:tcPr>
            <w:tcW w:w="1100" w:type="dxa"/>
            <w:vMerge w:val="continue"/>
            <w:vAlign w:val="center"/>
          </w:tcPr>
          <w:p>
            <w:pPr>
              <w:spacing w:line="240" w:lineRule="auto"/>
              <w:jc w:val="center"/>
              <w:rPr>
                <w:sz w:val="22"/>
              </w:rPr>
            </w:pPr>
          </w:p>
        </w:tc>
        <w:tc>
          <w:tcPr>
            <w:tcW w:w="864" w:type="dxa"/>
            <w:vMerge w:val="continue"/>
            <w:vAlign w:val="center"/>
          </w:tcPr>
          <w:p>
            <w:pPr>
              <w:spacing w:line="240" w:lineRule="auto"/>
              <w:jc w:val="center"/>
              <w:rPr>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939" w:type="dxa"/>
            <w:vMerge w:val="restart"/>
            <w:vAlign w:val="center"/>
          </w:tcPr>
          <w:p>
            <w:pPr>
              <w:spacing w:line="240" w:lineRule="auto"/>
              <w:jc w:val="center"/>
              <w:rPr>
                <w:sz w:val="22"/>
              </w:rPr>
            </w:pPr>
            <w:r>
              <w:rPr>
                <w:rFonts w:hint="eastAsia"/>
                <w:kern w:val="0"/>
                <w:sz w:val="22"/>
              </w:rPr>
              <w:t>1#贴面工序废气排气筒（</w:t>
            </w:r>
            <w:r>
              <w:rPr>
                <w:rFonts w:hint="eastAsia"/>
                <w:sz w:val="22"/>
              </w:rPr>
              <w:t>处理前）</w:t>
            </w:r>
          </w:p>
        </w:tc>
        <w:tc>
          <w:tcPr>
            <w:tcW w:w="1311" w:type="dxa"/>
            <w:vMerge w:val="restart"/>
            <w:vAlign w:val="center"/>
          </w:tcPr>
          <w:p>
            <w:pPr>
              <w:spacing w:line="240" w:lineRule="auto"/>
              <w:jc w:val="center"/>
              <w:rPr>
                <w:sz w:val="22"/>
              </w:rPr>
            </w:pPr>
            <w:r>
              <w:rPr>
                <w:rFonts w:hint="eastAsia"/>
                <w:sz w:val="22"/>
              </w:rPr>
              <w:t>非甲烷总烃</w:t>
            </w:r>
          </w:p>
        </w:tc>
        <w:tc>
          <w:tcPr>
            <w:tcW w:w="1269" w:type="dxa"/>
            <w:vAlign w:val="center"/>
          </w:tcPr>
          <w:p>
            <w:pPr>
              <w:widowControl/>
              <w:spacing w:line="240" w:lineRule="auto"/>
              <w:jc w:val="center"/>
              <w:rPr>
                <w:sz w:val="22"/>
              </w:rPr>
            </w:pPr>
            <w:r>
              <w:rPr>
                <w:sz w:val="22"/>
              </w:rPr>
              <w:t>2017.12.21</w:t>
            </w:r>
          </w:p>
        </w:tc>
        <w:tc>
          <w:tcPr>
            <w:tcW w:w="911" w:type="dxa"/>
            <w:vAlign w:val="center"/>
          </w:tcPr>
          <w:p>
            <w:pPr>
              <w:spacing w:line="240" w:lineRule="auto"/>
              <w:jc w:val="center"/>
              <w:rPr>
                <w:color w:val="000000"/>
                <w:sz w:val="22"/>
              </w:rPr>
            </w:pPr>
            <w:r>
              <w:rPr>
                <w:rFonts w:hint="eastAsia"/>
                <w:color w:val="000000"/>
                <w:sz w:val="22"/>
              </w:rPr>
              <w:t>12.8</w:t>
            </w:r>
          </w:p>
        </w:tc>
        <w:tc>
          <w:tcPr>
            <w:tcW w:w="912" w:type="dxa"/>
            <w:vAlign w:val="center"/>
          </w:tcPr>
          <w:p>
            <w:pPr>
              <w:spacing w:line="240" w:lineRule="auto"/>
              <w:jc w:val="center"/>
              <w:rPr>
                <w:color w:val="000000"/>
                <w:sz w:val="22"/>
              </w:rPr>
            </w:pPr>
            <w:r>
              <w:rPr>
                <w:rFonts w:hint="eastAsia"/>
                <w:color w:val="000000"/>
                <w:sz w:val="22"/>
              </w:rPr>
              <w:t>19.5</w:t>
            </w:r>
          </w:p>
        </w:tc>
        <w:tc>
          <w:tcPr>
            <w:tcW w:w="911" w:type="dxa"/>
            <w:vAlign w:val="center"/>
          </w:tcPr>
          <w:p>
            <w:pPr>
              <w:spacing w:line="240" w:lineRule="auto"/>
              <w:jc w:val="center"/>
              <w:rPr>
                <w:color w:val="000000"/>
                <w:sz w:val="22"/>
              </w:rPr>
            </w:pPr>
            <w:r>
              <w:rPr>
                <w:rFonts w:hint="eastAsia"/>
                <w:color w:val="000000"/>
                <w:sz w:val="22"/>
              </w:rPr>
              <w:t>11.6</w:t>
            </w:r>
          </w:p>
        </w:tc>
        <w:tc>
          <w:tcPr>
            <w:tcW w:w="912" w:type="dxa"/>
            <w:vAlign w:val="center"/>
          </w:tcPr>
          <w:p>
            <w:pPr>
              <w:spacing w:line="240" w:lineRule="auto"/>
              <w:jc w:val="center"/>
              <w:rPr>
                <w:rFonts w:ascii="宋体" w:hAnsi="宋体" w:cs="宋体"/>
                <w:color w:val="000000"/>
                <w:sz w:val="22"/>
              </w:rPr>
            </w:pPr>
            <w:r>
              <w:rPr>
                <w:rFonts w:hint="eastAsia"/>
                <w:color w:val="000000"/>
                <w:sz w:val="22"/>
              </w:rPr>
              <w:t>14.6</w:t>
            </w:r>
          </w:p>
        </w:tc>
        <w:tc>
          <w:tcPr>
            <w:tcW w:w="1187" w:type="dxa"/>
            <w:vAlign w:val="center"/>
          </w:tcPr>
          <w:p>
            <w:pPr>
              <w:spacing w:line="240" w:lineRule="auto"/>
              <w:jc w:val="center"/>
              <w:rPr>
                <w:rFonts w:ascii="宋体" w:hAnsi="宋体" w:cs="宋体"/>
                <w:color w:val="000000"/>
                <w:sz w:val="22"/>
              </w:rPr>
            </w:pPr>
            <w:r>
              <w:rPr>
                <w:rFonts w:hint="eastAsia"/>
                <w:color w:val="000000"/>
                <w:sz w:val="22"/>
              </w:rPr>
              <w:t>6.10</w:t>
            </w:r>
            <w:r>
              <w:rPr>
                <w:rFonts w:hint="eastAsia" w:hAnsi="宋体"/>
                <w:sz w:val="22"/>
              </w:rPr>
              <w:t>×10</w:t>
            </w:r>
            <w:r>
              <w:rPr>
                <w:rFonts w:hint="eastAsia" w:hAnsi="宋体"/>
                <w:sz w:val="22"/>
                <w:vertAlign w:val="superscript"/>
              </w:rPr>
              <w:t>-2</w:t>
            </w:r>
          </w:p>
        </w:tc>
        <w:tc>
          <w:tcPr>
            <w:tcW w:w="1189" w:type="dxa"/>
            <w:vAlign w:val="center"/>
          </w:tcPr>
          <w:p>
            <w:pPr>
              <w:spacing w:line="240" w:lineRule="auto"/>
              <w:jc w:val="center"/>
              <w:rPr>
                <w:rFonts w:ascii="宋体" w:hAnsi="宋体" w:cs="宋体"/>
                <w:color w:val="000000"/>
                <w:sz w:val="22"/>
              </w:rPr>
            </w:pPr>
            <w:r>
              <w:rPr>
                <w:rFonts w:hint="eastAsia"/>
                <w:color w:val="000000"/>
                <w:sz w:val="22"/>
              </w:rPr>
              <w:t>9.59</w:t>
            </w:r>
            <w:r>
              <w:rPr>
                <w:rFonts w:hint="eastAsia" w:hAnsi="宋体"/>
                <w:sz w:val="22"/>
              </w:rPr>
              <w:t>×10</w:t>
            </w:r>
            <w:r>
              <w:rPr>
                <w:rFonts w:hint="eastAsia" w:hAnsi="宋体"/>
                <w:sz w:val="22"/>
                <w:vertAlign w:val="superscript"/>
              </w:rPr>
              <w:t>-2</w:t>
            </w:r>
          </w:p>
        </w:tc>
        <w:tc>
          <w:tcPr>
            <w:tcW w:w="1187" w:type="dxa"/>
            <w:vAlign w:val="center"/>
          </w:tcPr>
          <w:p>
            <w:pPr>
              <w:spacing w:line="240" w:lineRule="auto"/>
              <w:jc w:val="center"/>
              <w:rPr>
                <w:rFonts w:ascii="宋体" w:hAnsi="宋体" w:cs="宋体"/>
                <w:color w:val="000000"/>
                <w:sz w:val="22"/>
              </w:rPr>
            </w:pPr>
            <w:r>
              <w:rPr>
                <w:rFonts w:hint="eastAsia"/>
                <w:color w:val="000000"/>
                <w:sz w:val="22"/>
              </w:rPr>
              <w:t>5.48</w:t>
            </w:r>
            <w:r>
              <w:rPr>
                <w:rFonts w:hint="eastAsia" w:hAnsi="宋体"/>
                <w:sz w:val="22"/>
              </w:rPr>
              <w:t>×10</w:t>
            </w:r>
            <w:r>
              <w:rPr>
                <w:rFonts w:hint="eastAsia" w:hAnsi="宋体"/>
                <w:sz w:val="22"/>
                <w:vertAlign w:val="superscript"/>
              </w:rPr>
              <w:t>-2</w:t>
            </w:r>
          </w:p>
        </w:tc>
        <w:tc>
          <w:tcPr>
            <w:tcW w:w="1188" w:type="dxa"/>
            <w:vAlign w:val="center"/>
          </w:tcPr>
          <w:p>
            <w:pPr>
              <w:spacing w:line="240" w:lineRule="auto"/>
              <w:jc w:val="center"/>
              <w:rPr>
                <w:rFonts w:ascii="宋体" w:hAnsi="宋体" w:cs="宋体"/>
                <w:color w:val="000000"/>
                <w:sz w:val="22"/>
              </w:rPr>
            </w:pPr>
            <w:r>
              <w:rPr>
                <w:rFonts w:hint="eastAsia"/>
                <w:color w:val="000000"/>
                <w:sz w:val="22"/>
              </w:rPr>
              <w:t>7.06</w:t>
            </w:r>
            <w:r>
              <w:rPr>
                <w:rFonts w:hint="eastAsia" w:hAnsi="宋体"/>
                <w:sz w:val="22"/>
              </w:rPr>
              <w:t>×10</w:t>
            </w:r>
            <w:r>
              <w:rPr>
                <w:rFonts w:hint="eastAsia" w:hAnsi="宋体"/>
                <w:sz w:val="22"/>
                <w:vertAlign w:val="superscript"/>
              </w:rPr>
              <w:t>-2</w:t>
            </w:r>
          </w:p>
        </w:tc>
        <w:tc>
          <w:tcPr>
            <w:tcW w:w="1241" w:type="dxa"/>
            <w:vMerge w:val="restart"/>
            <w:vAlign w:val="center"/>
          </w:tcPr>
          <w:p>
            <w:pPr>
              <w:spacing w:line="240" w:lineRule="auto"/>
              <w:jc w:val="center"/>
            </w:pPr>
            <w:r>
              <w:rPr>
                <w:rFonts w:hint="eastAsia" w:hAnsi="宋体"/>
                <w:sz w:val="22"/>
              </w:rPr>
              <w:t>—</w:t>
            </w:r>
          </w:p>
        </w:tc>
        <w:tc>
          <w:tcPr>
            <w:tcW w:w="1100" w:type="dxa"/>
            <w:vMerge w:val="restart"/>
            <w:vAlign w:val="center"/>
          </w:tcPr>
          <w:p>
            <w:pPr>
              <w:spacing w:line="240" w:lineRule="auto"/>
              <w:jc w:val="center"/>
            </w:pPr>
            <w:r>
              <w:rPr>
                <w:rFonts w:hint="eastAsia" w:hAnsi="宋体"/>
                <w:sz w:val="22"/>
              </w:rPr>
              <w:t>—</w:t>
            </w:r>
          </w:p>
        </w:tc>
        <w:tc>
          <w:tcPr>
            <w:tcW w:w="864" w:type="dxa"/>
            <w:vMerge w:val="restart"/>
            <w:vAlign w:val="center"/>
          </w:tcPr>
          <w:p>
            <w:pPr>
              <w:widowControl/>
              <w:spacing w:line="240" w:lineRule="auto"/>
              <w:jc w:val="center"/>
              <w:rPr>
                <w:rFonts w:hAnsi="宋体"/>
                <w:sz w:val="22"/>
              </w:rPr>
            </w:pPr>
            <w:r>
              <w:rPr>
                <w:rFonts w:hint="eastAsia" w:hAnsi="宋体"/>
                <w:sz w:val="22"/>
              </w:rPr>
              <w:t>Φ=0.3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939" w:type="dxa"/>
            <w:vMerge w:val="continue"/>
            <w:vAlign w:val="center"/>
          </w:tcPr>
          <w:p>
            <w:pPr>
              <w:spacing w:line="240" w:lineRule="auto"/>
              <w:jc w:val="center"/>
              <w:rPr>
                <w:sz w:val="22"/>
              </w:rPr>
            </w:pPr>
          </w:p>
        </w:tc>
        <w:tc>
          <w:tcPr>
            <w:tcW w:w="1311" w:type="dxa"/>
            <w:vMerge w:val="continue"/>
            <w:vAlign w:val="center"/>
          </w:tcPr>
          <w:p>
            <w:pPr>
              <w:spacing w:line="240" w:lineRule="auto"/>
              <w:jc w:val="center"/>
              <w:rPr>
                <w:sz w:val="22"/>
              </w:rPr>
            </w:pPr>
          </w:p>
        </w:tc>
        <w:tc>
          <w:tcPr>
            <w:tcW w:w="1269" w:type="dxa"/>
            <w:vAlign w:val="center"/>
          </w:tcPr>
          <w:p>
            <w:pPr>
              <w:widowControl/>
              <w:spacing w:line="240" w:lineRule="auto"/>
              <w:jc w:val="center"/>
              <w:rPr>
                <w:sz w:val="22"/>
              </w:rPr>
            </w:pPr>
            <w:r>
              <w:rPr>
                <w:rFonts w:hint="eastAsia"/>
                <w:sz w:val="22"/>
              </w:rPr>
              <w:t>2017.12.22</w:t>
            </w:r>
          </w:p>
        </w:tc>
        <w:tc>
          <w:tcPr>
            <w:tcW w:w="911" w:type="dxa"/>
            <w:vAlign w:val="center"/>
          </w:tcPr>
          <w:p>
            <w:pPr>
              <w:spacing w:line="240" w:lineRule="auto"/>
              <w:jc w:val="center"/>
              <w:rPr>
                <w:color w:val="000000"/>
                <w:sz w:val="22"/>
              </w:rPr>
            </w:pPr>
            <w:r>
              <w:rPr>
                <w:rFonts w:hint="eastAsia"/>
                <w:color w:val="000000"/>
                <w:sz w:val="22"/>
              </w:rPr>
              <w:t>14.1</w:t>
            </w:r>
          </w:p>
        </w:tc>
        <w:tc>
          <w:tcPr>
            <w:tcW w:w="912" w:type="dxa"/>
            <w:vAlign w:val="center"/>
          </w:tcPr>
          <w:p>
            <w:pPr>
              <w:spacing w:line="240" w:lineRule="auto"/>
              <w:jc w:val="center"/>
              <w:rPr>
                <w:color w:val="000000"/>
                <w:sz w:val="22"/>
              </w:rPr>
            </w:pPr>
            <w:r>
              <w:rPr>
                <w:rFonts w:hint="eastAsia"/>
                <w:color w:val="000000"/>
                <w:sz w:val="22"/>
              </w:rPr>
              <w:t>16.2</w:t>
            </w:r>
          </w:p>
        </w:tc>
        <w:tc>
          <w:tcPr>
            <w:tcW w:w="911" w:type="dxa"/>
            <w:vAlign w:val="center"/>
          </w:tcPr>
          <w:p>
            <w:pPr>
              <w:spacing w:line="240" w:lineRule="auto"/>
              <w:jc w:val="center"/>
              <w:rPr>
                <w:color w:val="000000"/>
                <w:sz w:val="22"/>
              </w:rPr>
            </w:pPr>
            <w:r>
              <w:rPr>
                <w:rFonts w:hint="eastAsia"/>
                <w:color w:val="000000"/>
                <w:sz w:val="22"/>
              </w:rPr>
              <w:t>17.0</w:t>
            </w:r>
          </w:p>
        </w:tc>
        <w:tc>
          <w:tcPr>
            <w:tcW w:w="912" w:type="dxa"/>
            <w:vAlign w:val="center"/>
          </w:tcPr>
          <w:p>
            <w:pPr>
              <w:spacing w:line="240" w:lineRule="auto"/>
              <w:jc w:val="center"/>
              <w:rPr>
                <w:rFonts w:ascii="宋体" w:hAnsi="宋体" w:cs="宋体"/>
                <w:color w:val="000000"/>
                <w:sz w:val="22"/>
              </w:rPr>
            </w:pPr>
            <w:r>
              <w:rPr>
                <w:rFonts w:hint="eastAsia"/>
                <w:color w:val="000000"/>
                <w:sz w:val="22"/>
              </w:rPr>
              <w:t>15.8</w:t>
            </w:r>
          </w:p>
        </w:tc>
        <w:tc>
          <w:tcPr>
            <w:tcW w:w="1187" w:type="dxa"/>
            <w:vAlign w:val="center"/>
          </w:tcPr>
          <w:p>
            <w:pPr>
              <w:spacing w:line="240" w:lineRule="auto"/>
              <w:jc w:val="center"/>
              <w:rPr>
                <w:rFonts w:ascii="宋体" w:hAnsi="宋体" w:cs="宋体"/>
                <w:color w:val="000000"/>
                <w:sz w:val="22"/>
              </w:rPr>
            </w:pPr>
            <w:r>
              <w:rPr>
                <w:rFonts w:hint="eastAsia"/>
                <w:color w:val="000000"/>
                <w:sz w:val="22"/>
              </w:rPr>
              <w:t>6.84</w:t>
            </w:r>
            <w:r>
              <w:rPr>
                <w:rFonts w:hint="eastAsia" w:hAnsi="宋体"/>
                <w:sz w:val="22"/>
              </w:rPr>
              <w:t>×10</w:t>
            </w:r>
            <w:r>
              <w:rPr>
                <w:rFonts w:hint="eastAsia" w:hAnsi="宋体"/>
                <w:sz w:val="22"/>
                <w:vertAlign w:val="superscript"/>
              </w:rPr>
              <w:t>-2</w:t>
            </w:r>
          </w:p>
        </w:tc>
        <w:tc>
          <w:tcPr>
            <w:tcW w:w="1189" w:type="dxa"/>
            <w:vAlign w:val="center"/>
          </w:tcPr>
          <w:p>
            <w:pPr>
              <w:spacing w:line="240" w:lineRule="auto"/>
              <w:jc w:val="center"/>
              <w:rPr>
                <w:rFonts w:ascii="宋体" w:hAnsi="宋体" w:cs="宋体"/>
                <w:color w:val="000000"/>
                <w:sz w:val="22"/>
              </w:rPr>
            </w:pPr>
            <w:r>
              <w:rPr>
                <w:rFonts w:hint="eastAsia"/>
                <w:color w:val="000000"/>
                <w:sz w:val="22"/>
              </w:rPr>
              <w:t>7.72</w:t>
            </w:r>
            <w:r>
              <w:rPr>
                <w:rFonts w:hint="eastAsia" w:hAnsi="宋体"/>
                <w:sz w:val="22"/>
              </w:rPr>
              <w:t>×10</w:t>
            </w:r>
            <w:r>
              <w:rPr>
                <w:rFonts w:hint="eastAsia" w:hAnsi="宋体"/>
                <w:sz w:val="22"/>
                <w:vertAlign w:val="superscript"/>
              </w:rPr>
              <w:t>-2</w:t>
            </w:r>
          </w:p>
        </w:tc>
        <w:tc>
          <w:tcPr>
            <w:tcW w:w="1187" w:type="dxa"/>
            <w:vAlign w:val="center"/>
          </w:tcPr>
          <w:p>
            <w:pPr>
              <w:spacing w:line="240" w:lineRule="auto"/>
              <w:jc w:val="center"/>
              <w:rPr>
                <w:rFonts w:ascii="宋体" w:hAnsi="宋体" w:cs="宋体"/>
                <w:color w:val="000000"/>
                <w:sz w:val="22"/>
              </w:rPr>
            </w:pPr>
            <w:r>
              <w:rPr>
                <w:rFonts w:hint="eastAsia"/>
                <w:color w:val="000000"/>
                <w:sz w:val="22"/>
              </w:rPr>
              <w:t>8.31</w:t>
            </w:r>
            <w:r>
              <w:rPr>
                <w:rFonts w:hint="eastAsia" w:hAnsi="宋体"/>
                <w:sz w:val="22"/>
              </w:rPr>
              <w:t>×10</w:t>
            </w:r>
            <w:r>
              <w:rPr>
                <w:rFonts w:hint="eastAsia" w:hAnsi="宋体"/>
                <w:sz w:val="22"/>
                <w:vertAlign w:val="superscript"/>
              </w:rPr>
              <w:t>-2</w:t>
            </w:r>
          </w:p>
        </w:tc>
        <w:tc>
          <w:tcPr>
            <w:tcW w:w="1188" w:type="dxa"/>
            <w:vAlign w:val="center"/>
          </w:tcPr>
          <w:p>
            <w:pPr>
              <w:spacing w:line="240" w:lineRule="auto"/>
              <w:jc w:val="center"/>
              <w:rPr>
                <w:rFonts w:ascii="宋体" w:hAnsi="宋体" w:cs="宋体"/>
                <w:color w:val="000000"/>
                <w:sz w:val="22"/>
              </w:rPr>
            </w:pPr>
            <w:r>
              <w:rPr>
                <w:rFonts w:hint="eastAsia"/>
                <w:color w:val="000000"/>
                <w:sz w:val="22"/>
              </w:rPr>
              <w:t>7.63</w:t>
            </w:r>
            <w:r>
              <w:rPr>
                <w:rFonts w:hint="eastAsia" w:hAnsi="宋体"/>
                <w:sz w:val="22"/>
              </w:rPr>
              <w:t>×10</w:t>
            </w:r>
            <w:r>
              <w:rPr>
                <w:rFonts w:hint="eastAsia" w:hAnsi="宋体"/>
                <w:sz w:val="22"/>
                <w:vertAlign w:val="superscript"/>
              </w:rPr>
              <w:t>-2</w:t>
            </w:r>
          </w:p>
        </w:tc>
        <w:tc>
          <w:tcPr>
            <w:tcW w:w="1241" w:type="dxa"/>
            <w:vMerge w:val="continue"/>
            <w:vAlign w:val="center"/>
          </w:tcPr>
          <w:p>
            <w:pPr>
              <w:spacing w:line="240" w:lineRule="auto"/>
              <w:jc w:val="center"/>
              <w:rPr>
                <w:sz w:val="22"/>
              </w:rPr>
            </w:pPr>
          </w:p>
        </w:tc>
        <w:tc>
          <w:tcPr>
            <w:tcW w:w="1100" w:type="dxa"/>
            <w:vMerge w:val="continue"/>
            <w:vAlign w:val="center"/>
          </w:tcPr>
          <w:p>
            <w:pPr>
              <w:spacing w:line="240" w:lineRule="auto"/>
              <w:jc w:val="center"/>
              <w:rPr>
                <w:sz w:val="22"/>
              </w:rPr>
            </w:pPr>
          </w:p>
        </w:tc>
        <w:tc>
          <w:tcPr>
            <w:tcW w:w="864" w:type="dxa"/>
            <w:vMerge w:val="continue"/>
            <w:vAlign w:val="center"/>
          </w:tcPr>
          <w:p>
            <w:pPr>
              <w:spacing w:line="240" w:lineRule="auto"/>
              <w:jc w:val="center"/>
              <w:rPr>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939" w:type="dxa"/>
            <w:vMerge w:val="continue"/>
            <w:vAlign w:val="center"/>
          </w:tcPr>
          <w:p>
            <w:pPr>
              <w:spacing w:line="240" w:lineRule="auto"/>
              <w:jc w:val="center"/>
              <w:rPr>
                <w:sz w:val="22"/>
              </w:rPr>
            </w:pPr>
          </w:p>
        </w:tc>
        <w:tc>
          <w:tcPr>
            <w:tcW w:w="1311" w:type="dxa"/>
            <w:vMerge w:val="restart"/>
            <w:vAlign w:val="center"/>
          </w:tcPr>
          <w:p>
            <w:pPr>
              <w:spacing w:line="240" w:lineRule="auto"/>
              <w:jc w:val="center"/>
              <w:rPr>
                <w:sz w:val="22"/>
              </w:rPr>
            </w:pPr>
            <w:r>
              <w:rPr>
                <w:rFonts w:hint="eastAsia"/>
                <w:sz w:val="22"/>
              </w:rPr>
              <w:t>标干流量（</w:t>
            </w:r>
            <w:r>
              <w:rPr>
                <w:sz w:val="22"/>
              </w:rPr>
              <w:t>m</w:t>
            </w:r>
            <w:r>
              <w:rPr>
                <w:sz w:val="22"/>
                <w:vertAlign w:val="superscript"/>
              </w:rPr>
              <w:t>3</w:t>
            </w:r>
            <w:r>
              <w:rPr>
                <w:sz w:val="22"/>
              </w:rPr>
              <w:t>/h</w:t>
            </w:r>
            <w:r>
              <w:rPr>
                <w:rFonts w:hint="eastAsia"/>
                <w:sz w:val="22"/>
              </w:rPr>
              <w:t>）</w:t>
            </w:r>
          </w:p>
        </w:tc>
        <w:tc>
          <w:tcPr>
            <w:tcW w:w="1269" w:type="dxa"/>
            <w:vAlign w:val="center"/>
          </w:tcPr>
          <w:p>
            <w:pPr>
              <w:widowControl/>
              <w:spacing w:line="240" w:lineRule="auto"/>
              <w:jc w:val="center"/>
              <w:rPr>
                <w:rFonts w:hAnsi="宋体"/>
                <w:sz w:val="22"/>
              </w:rPr>
            </w:pPr>
            <w:r>
              <w:rPr>
                <w:rFonts w:hint="eastAsia" w:hAnsi="宋体"/>
                <w:sz w:val="22"/>
              </w:rPr>
              <w:t>2017.12.21</w:t>
            </w:r>
          </w:p>
        </w:tc>
        <w:tc>
          <w:tcPr>
            <w:tcW w:w="911" w:type="dxa"/>
            <w:vAlign w:val="center"/>
          </w:tcPr>
          <w:p>
            <w:pPr>
              <w:spacing w:line="240" w:lineRule="auto"/>
              <w:jc w:val="center"/>
              <w:rPr>
                <w:color w:val="000000"/>
                <w:sz w:val="22"/>
              </w:rPr>
            </w:pPr>
            <w:r>
              <w:rPr>
                <w:rFonts w:hint="eastAsia"/>
                <w:color w:val="000000"/>
                <w:sz w:val="22"/>
              </w:rPr>
              <w:t>4763</w:t>
            </w:r>
          </w:p>
        </w:tc>
        <w:tc>
          <w:tcPr>
            <w:tcW w:w="912" w:type="dxa"/>
            <w:vAlign w:val="center"/>
          </w:tcPr>
          <w:p>
            <w:pPr>
              <w:spacing w:line="240" w:lineRule="auto"/>
              <w:jc w:val="center"/>
              <w:rPr>
                <w:color w:val="000000"/>
                <w:sz w:val="22"/>
              </w:rPr>
            </w:pPr>
            <w:r>
              <w:rPr>
                <w:rFonts w:hint="eastAsia"/>
                <w:color w:val="000000"/>
                <w:sz w:val="22"/>
              </w:rPr>
              <w:t>4918</w:t>
            </w:r>
          </w:p>
        </w:tc>
        <w:tc>
          <w:tcPr>
            <w:tcW w:w="911" w:type="dxa"/>
            <w:vAlign w:val="center"/>
          </w:tcPr>
          <w:p>
            <w:pPr>
              <w:spacing w:line="240" w:lineRule="auto"/>
              <w:jc w:val="center"/>
              <w:rPr>
                <w:color w:val="000000"/>
                <w:sz w:val="22"/>
              </w:rPr>
            </w:pPr>
            <w:r>
              <w:rPr>
                <w:rFonts w:hint="eastAsia"/>
                <w:color w:val="000000"/>
                <w:sz w:val="22"/>
              </w:rPr>
              <w:t>4726</w:t>
            </w:r>
          </w:p>
        </w:tc>
        <w:tc>
          <w:tcPr>
            <w:tcW w:w="912" w:type="dxa"/>
            <w:vAlign w:val="center"/>
          </w:tcPr>
          <w:p>
            <w:pPr>
              <w:spacing w:line="240" w:lineRule="auto"/>
              <w:jc w:val="center"/>
              <w:rPr>
                <w:rFonts w:ascii="宋体" w:hAnsi="宋体" w:cs="宋体"/>
                <w:color w:val="000000"/>
                <w:sz w:val="22"/>
              </w:rPr>
            </w:pPr>
            <w:r>
              <w:rPr>
                <w:rFonts w:hint="eastAsia"/>
                <w:color w:val="000000"/>
                <w:sz w:val="22"/>
              </w:rPr>
              <w:t>4802</w:t>
            </w:r>
          </w:p>
        </w:tc>
        <w:tc>
          <w:tcPr>
            <w:tcW w:w="1187" w:type="dxa"/>
            <w:vAlign w:val="center"/>
          </w:tcPr>
          <w:p>
            <w:pPr>
              <w:widowControl/>
              <w:spacing w:line="240" w:lineRule="auto"/>
              <w:jc w:val="center"/>
              <w:rPr>
                <w:rFonts w:hAnsi="宋体"/>
                <w:sz w:val="22"/>
              </w:rPr>
            </w:pPr>
            <w:r>
              <w:rPr>
                <w:rFonts w:hint="eastAsia" w:hAnsi="宋体"/>
                <w:sz w:val="22"/>
              </w:rPr>
              <w:t>—</w:t>
            </w:r>
          </w:p>
        </w:tc>
        <w:tc>
          <w:tcPr>
            <w:tcW w:w="1189" w:type="dxa"/>
            <w:vAlign w:val="center"/>
          </w:tcPr>
          <w:p>
            <w:pPr>
              <w:widowControl/>
              <w:spacing w:line="240" w:lineRule="auto"/>
              <w:jc w:val="center"/>
              <w:rPr>
                <w:rFonts w:hAnsi="宋体"/>
                <w:sz w:val="22"/>
              </w:rPr>
            </w:pPr>
            <w:r>
              <w:rPr>
                <w:rFonts w:hint="eastAsia" w:hAnsi="宋体"/>
                <w:sz w:val="22"/>
              </w:rPr>
              <w:t>—</w:t>
            </w:r>
          </w:p>
        </w:tc>
        <w:tc>
          <w:tcPr>
            <w:tcW w:w="1187" w:type="dxa"/>
            <w:vAlign w:val="center"/>
          </w:tcPr>
          <w:p>
            <w:pPr>
              <w:widowControl/>
              <w:spacing w:line="240" w:lineRule="auto"/>
              <w:jc w:val="center"/>
              <w:rPr>
                <w:rFonts w:hAnsi="宋体"/>
                <w:sz w:val="22"/>
              </w:rPr>
            </w:pPr>
            <w:r>
              <w:rPr>
                <w:rFonts w:hint="eastAsia" w:hAnsi="宋体"/>
                <w:sz w:val="22"/>
              </w:rPr>
              <w:t>—</w:t>
            </w:r>
          </w:p>
        </w:tc>
        <w:tc>
          <w:tcPr>
            <w:tcW w:w="1188" w:type="dxa"/>
            <w:vAlign w:val="center"/>
          </w:tcPr>
          <w:p>
            <w:pPr>
              <w:widowControl/>
              <w:spacing w:line="240" w:lineRule="auto"/>
              <w:jc w:val="center"/>
              <w:rPr>
                <w:rFonts w:hAnsi="宋体"/>
                <w:sz w:val="22"/>
              </w:rPr>
            </w:pPr>
            <w:r>
              <w:rPr>
                <w:rFonts w:hint="eastAsia" w:hAnsi="宋体"/>
                <w:sz w:val="22"/>
              </w:rPr>
              <w:t>—</w:t>
            </w:r>
          </w:p>
        </w:tc>
        <w:tc>
          <w:tcPr>
            <w:tcW w:w="1241" w:type="dxa"/>
            <w:vMerge w:val="restart"/>
            <w:vAlign w:val="center"/>
          </w:tcPr>
          <w:p>
            <w:pPr>
              <w:spacing w:line="240" w:lineRule="auto"/>
              <w:jc w:val="center"/>
            </w:pPr>
            <w:r>
              <w:rPr>
                <w:rFonts w:hint="eastAsia" w:hAnsi="宋体"/>
                <w:sz w:val="22"/>
              </w:rPr>
              <w:t>—</w:t>
            </w:r>
          </w:p>
        </w:tc>
        <w:tc>
          <w:tcPr>
            <w:tcW w:w="1100" w:type="dxa"/>
            <w:vMerge w:val="restart"/>
            <w:vAlign w:val="center"/>
          </w:tcPr>
          <w:p>
            <w:pPr>
              <w:spacing w:line="240" w:lineRule="auto"/>
              <w:jc w:val="center"/>
            </w:pPr>
            <w:r>
              <w:rPr>
                <w:rFonts w:hint="eastAsia" w:hAnsi="宋体"/>
                <w:sz w:val="22"/>
              </w:rPr>
              <w:t>—</w:t>
            </w:r>
          </w:p>
        </w:tc>
        <w:tc>
          <w:tcPr>
            <w:tcW w:w="864" w:type="dxa"/>
            <w:vMerge w:val="continue"/>
            <w:vAlign w:val="center"/>
          </w:tcPr>
          <w:p>
            <w:pPr>
              <w:spacing w:line="240" w:lineRule="auto"/>
              <w:jc w:val="center"/>
              <w:rPr>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939" w:type="dxa"/>
            <w:vMerge w:val="continue"/>
            <w:vAlign w:val="center"/>
          </w:tcPr>
          <w:p>
            <w:pPr>
              <w:spacing w:line="240" w:lineRule="auto"/>
              <w:jc w:val="center"/>
              <w:rPr>
                <w:sz w:val="22"/>
              </w:rPr>
            </w:pPr>
          </w:p>
        </w:tc>
        <w:tc>
          <w:tcPr>
            <w:tcW w:w="1311" w:type="dxa"/>
            <w:vMerge w:val="continue"/>
            <w:vAlign w:val="center"/>
          </w:tcPr>
          <w:p>
            <w:pPr>
              <w:spacing w:line="240" w:lineRule="auto"/>
              <w:jc w:val="center"/>
              <w:rPr>
                <w:sz w:val="22"/>
              </w:rPr>
            </w:pPr>
          </w:p>
        </w:tc>
        <w:tc>
          <w:tcPr>
            <w:tcW w:w="1269" w:type="dxa"/>
            <w:vAlign w:val="center"/>
          </w:tcPr>
          <w:p>
            <w:pPr>
              <w:widowControl/>
              <w:spacing w:line="240" w:lineRule="auto"/>
              <w:jc w:val="center"/>
              <w:rPr>
                <w:rFonts w:hAnsi="宋体"/>
                <w:sz w:val="22"/>
              </w:rPr>
            </w:pPr>
            <w:r>
              <w:rPr>
                <w:rFonts w:hint="eastAsia" w:hAnsi="宋体"/>
                <w:sz w:val="22"/>
              </w:rPr>
              <w:t>2017.12.22</w:t>
            </w:r>
          </w:p>
        </w:tc>
        <w:tc>
          <w:tcPr>
            <w:tcW w:w="911" w:type="dxa"/>
            <w:vAlign w:val="center"/>
          </w:tcPr>
          <w:p>
            <w:pPr>
              <w:spacing w:line="240" w:lineRule="auto"/>
              <w:jc w:val="center"/>
              <w:rPr>
                <w:color w:val="000000"/>
                <w:sz w:val="22"/>
              </w:rPr>
            </w:pPr>
            <w:r>
              <w:rPr>
                <w:rFonts w:hint="eastAsia"/>
                <w:color w:val="000000"/>
                <w:sz w:val="22"/>
              </w:rPr>
              <w:t>4852</w:t>
            </w:r>
          </w:p>
        </w:tc>
        <w:tc>
          <w:tcPr>
            <w:tcW w:w="912" w:type="dxa"/>
            <w:vAlign w:val="center"/>
          </w:tcPr>
          <w:p>
            <w:pPr>
              <w:spacing w:line="240" w:lineRule="auto"/>
              <w:jc w:val="center"/>
              <w:rPr>
                <w:color w:val="000000"/>
                <w:sz w:val="22"/>
              </w:rPr>
            </w:pPr>
            <w:r>
              <w:rPr>
                <w:rFonts w:hint="eastAsia"/>
                <w:color w:val="000000"/>
                <w:sz w:val="22"/>
              </w:rPr>
              <w:t>4766</w:t>
            </w:r>
          </w:p>
        </w:tc>
        <w:tc>
          <w:tcPr>
            <w:tcW w:w="911" w:type="dxa"/>
            <w:vAlign w:val="center"/>
          </w:tcPr>
          <w:p>
            <w:pPr>
              <w:spacing w:line="240" w:lineRule="auto"/>
              <w:jc w:val="center"/>
              <w:rPr>
                <w:color w:val="000000"/>
                <w:sz w:val="22"/>
              </w:rPr>
            </w:pPr>
            <w:r>
              <w:rPr>
                <w:rFonts w:hint="eastAsia"/>
                <w:color w:val="000000"/>
                <w:sz w:val="22"/>
              </w:rPr>
              <w:t>4891</w:t>
            </w:r>
          </w:p>
        </w:tc>
        <w:tc>
          <w:tcPr>
            <w:tcW w:w="912" w:type="dxa"/>
            <w:vAlign w:val="center"/>
          </w:tcPr>
          <w:p>
            <w:pPr>
              <w:spacing w:line="240" w:lineRule="auto"/>
              <w:jc w:val="center"/>
              <w:rPr>
                <w:rFonts w:ascii="宋体" w:hAnsi="宋体" w:cs="宋体"/>
                <w:color w:val="000000"/>
                <w:sz w:val="22"/>
              </w:rPr>
            </w:pPr>
            <w:r>
              <w:rPr>
                <w:rFonts w:hint="eastAsia"/>
                <w:color w:val="000000"/>
                <w:sz w:val="22"/>
              </w:rPr>
              <w:t>4836</w:t>
            </w:r>
          </w:p>
        </w:tc>
        <w:tc>
          <w:tcPr>
            <w:tcW w:w="1187" w:type="dxa"/>
            <w:vAlign w:val="center"/>
          </w:tcPr>
          <w:p>
            <w:pPr>
              <w:widowControl/>
              <w:spacing w:line="240" w:lineRule="auto"/>
              <w:jc w:val="center"/>
              <w:rPr>
                <w:rFonts w:hAnsi="宋体"/>
                <w:sz w:val="22"/>
              </w:rPr>
            </w:pPr>
            <w:r>
              <w:rPr>
                <w:rFonts w:hint="eastAsia" w:hAnsi="宋体"/>
                <w:sz w:val="22"/>
              </w:rPr>
              <w:t>—</w:t>
            </w:r>
          </w:p>
        </w:tc>
        <w:tc>
          <w:tcPr>
            <w:tcW w:w="1189" w:type="dxa"/>
            <w:vAlign w:val="center"/>
          </w:tcPr>
          <w:p>
            <w:pPr>
              <w:widowControl/>
              <w:spacing w:line="240" w:lineRule="auto"/>
              <w:jc w:val="center"/>
              <w:rPr>
                <w:rFonts w:hAnsi="宋体"/>
                <w:sz w:val="22"/>
              </w:rPr>
            </w:pPr>
            <w:r>
              <w:rPr>
                <w:rFonts w:hint="eastAsia" w:hAnsi="宋体"/>
                <w:sz w:val="22"/>
              </w:rPr>
              <w:t>—</w:t>
            </w:r>
          </w:p>
        </w:tc>
        <w:tc>
          <w:tcPr>
            <w:tcW w:w="1187" w:type="dxa"/>
            <w:vAlign w:val="center"/>
          </w:tcPr>
          <w:p>
            <w:pPr>
              <w:widowControl/>
              <w:spacing w:line="240" w:lineRule="auto"/>
              <w:jc w:val="center"/>
              <w:rPr>
                <w:rFonts w:hAnsi="宋体"/>
                <w:sz w:val="22"/>
              </w:rPr>
            </w:pPr>
            <w:r>
              <w:rPr>
                <w:rFonts w:hint="eastAsia" w:hAnsi="宋体"/>
                <w:sz w:val="22"/>
              </w:rPr>
              <w:t>—</w:t>
            </w:r>
          </w:p>
        </w:tc>
        <w:tc>
          <w:tcPr>
            <w:tcW w:w="1188" w:type="dxa"/>
            <w:vAlign w:val="center"/>
          </w:tcPr>
          <w:p>
            <w:pPr>
              <w:widowControl/>
              <w:spacing w:line="240" w:lineRule="auto"/>
              <w:jc w:val="center"/>
              <w:rPr>
                <w:rFonts w:hAnsi="宋体"/>
                <w:sz w:val="22"/>
              </w:rPr>
            </w:pPr>
            <w:r>
              <w:rPr>
                <w:rFonts w:hint="eastAsia" w:hAnsi="宋体"/>
                <w:sz w:val="22"/>
              </w:rPr>
              <w:t>—</w:t>
            </w:r>
          </w:p>
        </w:tc>
        <w:tc>
          <w:tcPr>
            <w:tcW w:w="1241" w:type="dxa"/>
            <w:vMerge w:val="continue"/>
            <w:vAlign w:val="center"/>
          </w:tcPr>
          <w:p>
            <w:pPr>
              <w:spacing w:line="240" w:lineRule="auto"/>
              <w:jc w:val="center"/>
              <w:rPr>
                <w:sz w:val="22"/>
              </w:rPr>
            </w:pPr>
          </w:p>
        </w:tc>
        <w:tc>
          <w:tcPr>
            <w:tcW w:w="1100" w:type="dxa"/>
            <w:vMerge w:val="continue"/>
            <w:vAlign w:val="center"/>
          </w:tcPr>
          <w:p>
            <w:pPr>
              <w:spacing w:line="240" w:lineRule="auto"/>
              <w:jc w:val="center"/>
              <w:rPr>
                <w:sz w:val="22"/>
              </w:rPr>
            </w:pPr>
          </w:p>
        </w:tc>
        <w:tc>
          <w:tcPr>
            <w:tcW w:w="864" w:type="dxa"/>
            <w:vMerge w:val="continue"/>
            <w:vAlign w:val="center"/>
          </w:tcPr>
          <w:p>
            <w:pPr>
              <w:spacing w:line="240" w:lineRule="auto"/>
              <w:jc w:val="center"/>
              <w:rPr>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939" w:type="dxa"/>
            <w:vMerge w:val="restart"/>
            <w:vAlign w:val="center"/>
          </w:tcPr>
          <w:p>
            <w:pPr>
              <w:spacing w:line="240" w:lineRule="auto"/>
              <w:jc w:val="center"/>
              <w:rPr>
                <w:sz w:val="22"/>
              </w:rPr>
            </w:pPr>
            <w:r>
              <w:rPr>
                <w:rFonts w:hint="eastAsia"/>
                <w:sz w:val="22"/>
              </w:rPr>
              <w:t>1#</w:t>
            </w:r>
            <w:r>
              <w:rPr>
                <w:rFonts w:hint="eastAsia"/>
                <w:kern w:val="0"/>
                <w:sz w:val="22"/>
              </w:rPr>
              <w:t>贴面工序废气排气筒（</w:t>
            </w:r>
            <w:r>
              <w:rPr>
                <w:rFonts w:hint="eastAsia"/>
                <w:sz w:val="22"/>
              </w:rPr>
              <w:t>处理后）</w:t>
            </w:r>
          </w:p>
        </w:tc>
        <w:tc>
          <w:tcPr>
            <w:tcW w:w="1311" w:type="dxa"/>
            <w:vMerge w:val="restart"/>
            <w:vAlign w:val="center"/>
          </w:tcPr>
          <w:p>
            <w:pPr>
              <w:spacing w:line="240" w:lineRule="auto"/>
              <w:jc w:val="center"/>
              <w:rPr>
                <w:sz w:val="22"/>
              </w:rPr>
            </w:pPr>
            <w:r>
              <w:rPr>
                <w:rFonts w:hint="eastAsia"/>
                <w:sz w:val="22"/>
              </w:rPr>
              <w:t>非甲烷总烃</w:t>
            </w:r>
          </w:p>
        </w:tc>
        <w:tc>
          <w:tcPr>
            <w:tcW w:w="1269" w:type="dxa"/>
            <w:vAlign w:val="center"/>
          </w:tcPr>
          <w:p>
            <w:pPr>
              <w:widowControl/>
              <w:spacing w:line="240" w:lineRule="auto"/>
              <w:jc w:val="center"/>
              <w:rPr>
                <w:sz w:val="22"/>
              </w:rPr>
            </w:pPr>
            <w:r>
              <w:rPr>
                <w:sz w:val="22"/>
              </w:rPr>
              <w:t>2017.12.21</w:t>
            </w:r>
          </w:p>
        </w:tc>
        <w:tc>
          <w:tcPr>
            <w:tcW w:w="911" w:type="dxa"/>
            <w:vAlign w:val="center"/>
          </w:tcPr>
          <w:p>
            <w:pPr>
              <w:spacing w:line="240" w:lineRule="auto"/>
              <w:jc w:val="center"/>
              <w:rPr>
                <w:color w:val="000000"/>
                <w:sz w:val="22"/>
              </w:rPr>
            </w:pPr>
            <w:r>
              <w:rPr>
                <w:rFonts w:hint="eastAsia"/>
                <w:color w:val="000000"/>
                <w:sz w:val="22"/>
              </w:rPr>
              <w:t>2.70</w:t>
            </w:r>
          </w:p>
        </w:tc>
        <w:tc>
          <w:tcPr>
            <w:tcW w:w="912" w:type="dxa"/>
            <w:vAlign w:val="center"/>
          </w:tcPr>
          <w:p>
            <w:pPr>
              <w:spacing w:line="240" w:lineRule="auto"/>
              <w:jc w:val="center"/>
              <w:rPr>
                <w:color w:val="000000"/>
                <w:sz w:val="22"/>
              </w:rPr>
            </w:pPr>
            <w:r>
              <w:rPr>
                <w:rFonts w:hint="eastAsia"/>
                <w:color w:val="000000"/>
                <w:sz w:val="22"/>
              </w:rPr>
              <w:t>4.71</w:t>
            </w:r>
          </w:p>
        </w:tc>
        <w:tc>
          <w:tcPr>
            <w:tcW w:w="911" w:type="dxa"/>
            <w:vAlign w:val="center"/>
          </w:tcPr>
          <w:p>
            <w:pPr>
              <w:spacing w:line="240" w:lineRule="auto"/>
              <w:jc w:val="center"/>
              <w:rPr>
                <w:color w:val="000000"/>
                <w:sz w:val="22"/>
              </w:rPr>
            </w:pPr>
            <w:r>
              <w:rPr>
                <w:rFonts w:hint="eastAsia"/>
                <w:color w:val="000000"/>
                <w:sz w:val="22"/>
              </w:rPr>
              <w:t>5.23</w:t>
            </w:r>
          </w:p>
        </w:tc>
        <w:tc>
          <w:tcPr>
            <w:tcW w:w="912" w:type="dxa"/>
            <w:vAlign w:val="center"/>
          </w:tcPr>
          <w:p>
            <w:pPr>
              <w:spacing w:line="240" w:lineRule="auto"/>
              <w:jc w:val="center"/>
              <w:rPr>
                <w:rFonts w:ascii="宋体" w:hAnsi="宋体" w:cs="宋体"/>
                <w:color w:val="000000"/>
                <w:sz w:val="22"/>
              </w:rPr>
            </w:pPr>
            <w:r>
              <w:rPr>
                <w:rFonts w:hint="eastAsia"/>
                <w:color w:val="000000"/>
                <w:sz w:val="22"/>
              </w:rPr>
              <w:t>4.21</w:t>
            </w:r>
          </w:p>
        </w:tc>
        <w:tc>
          <w:tcPr>
            <w:tcW w:w="1187" w:type="dxa"/>
            <w:vAlign w:val="center"/>
          </w:tcPr>
          <w:p>
            <w:pPr>
              <w:spacing w:line="240" w:lineRule="auto"/>
              <w:jc w:val="center"/>
              <w:rPr>
                <w:rFonts w:ascii="宋体" w:hAnsi="宋体" w:cs="宋体"/>
                <w:color w:val="000000"/>
                <w:sz w:val="22"/>
              </w:rPr>
            </w:pPr>
            <w:r>
              <w:rPr>
                <w:rFonts w:hint="eastAsia"/>
                <w:color w:val="000000"/>
                <w:sz w:val="22"/>
              </w:rPr>
              <w:t>1.56</w:t>
            </w:r>
            <w:r>
              <w:rPr>
                <w:rFonts w:hint="eastAsia" w:hAnsi="宋体"/>
                <w:sz w:val="22"/>
              </w:rPr>
              <w:t>×10</w:t>
            </w:r>
            <w:r>
              <w:rPr>
                <w:rFonts w:hint="eastAsia" w:hAnsi="宋体"/>
                <w:sz w:val="22"/>
                <w:vertAlign w:val="superscript"/>
              </w:rPr>
              <w:t>-2</w:t>
            </w:r>
          </w:p>
        </w:tc>
        <w:tc>
          <w:tcPr>
            <w:tcW w:w="1189" w:type="dxa"/>
            <w:vAlign w:val="center"/>
          </w:tcPr>
          <w:p>
            <w:pPr>
              <w:spacing w:line="240" w:lineRule="auto"/>
              <w:jc w:val="center"/>
              <w:rPr>
                <w:rFonts w:ascii="宋体" w:hAnsi="宋体" w:cs="宋体"/>
                <w:color w:val="000000"/>
                <w:sz w:val="22"/>
              </w:rPr>
            </w:pPr>
            <w:r>
              <w:rPr>
                <w:rFonts w:hint="eastAsia"/>
                <w:color w:val="000000"/>
                <w:sz w:val="22"/>
              </w:rPr>
              <w:t>2.73</w:t>
            </w:r>
            <w:r>
              <w:rPr>
                <w:rFonts w:hint="eastAsia" w:hAnsi="宋体"/>
                <w:sz w:val="22"/>
              </w:rPr>
              <w:t>×10</w:t>
            </w:r>
            <w:r>
              <w:rPr>
                <w:rFonts w:hint="eastAsia" w:hAnsi="宋体"/>
                <w:sz w:val="22"/>
                <w:vertAlign w:val="superscript"/>
              </w:rPr>
              <w:t>-2</w:t>
            </w:r>
          </w:p>
        </w:tc>
        <w:tc>
          <w:tcPr>
            <w:tcW w:w="1187" w:type="dxa"/>
            <w:vAlign w:val="center"/>
          </w:tcPr>
          <w:p>
            <w:pPr>
              <w:spacing w:line="240" w:lineRule="auto"/>
              <w:jc w:val="center"/>
              <w:rPr>
                <w:rFonts w:ascii="宋体" w:hAnsi="宋体" w:cs="宋体"/>
                <w:color w:val="000000"/>
                <w:sz w:val="22"/>
              </w:rPr>
            </w:pPr>
            <w:r>
              <w:rPr>
                <w:rFonts w:hint="eastAsia"/>
                <w:color w:val="000000"/>
                <w:sz w:val="22"/>
              </w:rPr>
              <w:t>3.04</w:t>
            </w:r>
            <w:r>
              <w:rPr>
                <w:rFonts w:hint="eastAsia" w:hAnsi="宋体"/>
                <w:sz w:val="22"/>
              </w:rPr>
              <w:t>×10</w:t>
            </w:r>
            <w:r>
              <w:rPr>
                <w:rFonts w:hint="eastAsia" w:hAnsi="宋体"/>
                <w:sz w:val="22"/>
                <w:vertAlign w:val="superscript"/>
              </w:rPr>
              <w:t>-2</w:t>
            </w:r>
          </w:p>
        </w:tc>
        <w:tc>
          <w:tcPr>
            <w:tcW w:w="1188" w:type="dxa"/>
            <w:vAlign w:val="center"/>
          </w:tcPr>
          <w:p>
            <w:pPr>
              <w:spacing w:line="240" w:lineRule="auto"/>
              <w:jc w:val="center"/>
              <w:rPr>
                <w:rFonts w:ascii="宋体" w:hAnsi="宋体" w:cs="宋体"/>
                <w:color w:val="000000"/>
                <w:sz w:val="22"/>
              </w:rPr>
            </w:pPr>
            <w:r>
              <w:rPr>
                <w:rFonts w:hint="eastAsia"/>
                <w:color w:val="000000"/>
                <w:sz w:val="22"/>
              </w:rPr>
              <w:t>2.44</w:t>
            </w:r>
            <w:r>
              <w:rPr>
                <w:rFonts w:hint="eastAsia" w:hAnsi="宋体"/>
                <w:sz w:val="22"/>
              </w:rPr>
              <w:t>×10</w:t>
            </w:r>
            <w:r>
              <w:rPr>
                <w:rFonts w:hint="eastAsia" w:hAnsi="宋体"/>
                <w:sz w:val="22"/>
                <w:vertAlign w:val="superscript"/>
              </w:rPr>
              <w:t>-2</w:t>
            </w:r>
          </w:p>
        </w:tc>
        <w:tc>
          <w:tcPr>
            <w:tcW w:w="1241" w:type="dxa"/>
            <w:vMerge w:val="restart"/>
            <w:vAlign w:val="center"/>
          </w:tcPr>
          <w:p>
            <w:pPr>
              <w:widowControl/>
              <w:spacing w:line="240" w:lineRule="auto"/>
              <w:jc w:val="center"/>
              <w:rPr>
                <w:rFonts w:hAnsi="宋体"/>
                <w:sz w:val="22"/>
              </w:rPr>
            </w:pPr>
            <w:r>
              <w:rPr>
                <w:rFonts w:hint="eastAsia" w:hAnsi="宋体"/>
                <w:sz w:val="22"/>
              </w:rPr>
              <w:t>120</w:t>
            </w:r>
          </w:p>
        </w:tc>
        <w:tc>
          <w:tcPr>
            <w:tcW w:w="1100" w:type="dxa"/>
            <w:vMerge w:val="restart"/>
            <w:vAlign w:val="center"/>
          </w:tcPr>
          <w:p>
            <w:pPr>
              <w:spacing w:line="240" w:lineRule="auto"/>
              <w:jc w:val="center"/>
              <w:rPr>
                <w:sz w:val="22"/>
              </w:rPr>
            </w:pPr>
            <w:r>
              <w:rPr>
                <w:rFonts w:hint="eastAsia"/>
                <w:sz w:val="22"/>
              </w:rPr>
              <w:t>10</w:t>
            </w:r>
          </w:p>
        </w:tc>
        <w:tc>
          <w:tcPr>
            <w:tcW w:w="864" w:type="dxa"/>
            <w:vMerge w:val="restart"/>
            <w:vAlign w:val="center"/>
          </w:tcPr>
          <w:p>
            <w:pPr>
              <w:spacing w:line="240" w:lineRule="auto"/>
              <w:jc w:val="center"/>
              <w:rPr>
                <w:sz w:val="22"/>
              </w:rPr>
            </w:pPr>
            <w:r>
              <w:rPr>
                <w:rFonts w:hint="eastAsia" w:hAnsi="宋体"/>
                <w:sz w:val="22"/>
              </w:rPr>
              <w:t>15/0.3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939" w:type="dxa"/>
            <w:vMerge w:val="continue"/>
            <w:vAlign w:val="center"/>
          </w:tcPr>
          <w:p>
            <w:pPr>
              <w:spacing w:line="240" w:lineRule="auto"/>
              <w:jc w:val="center"/>
              <w:rPr>
                <w:sz w:val="22"/>
              </w:rPr>
            </w:pPr>
          </w:p>
        </w:tc>
        <w:tc>
          <w:tcPr>
            <w:tcW w:w="1311" w:type="dxa"/>
            <w:vMerge w:val="continue"/>
            <w:vAlign w:val="center"/>
          </w:tcPr>
          <w:p>
            <w:pPr>
              <w:spacing w:line="240" w:lineRule="auto"/>
              <w:jc w:val="center"/>
              <w:rPr>
                <w:sz w:val="22"/>
              </w:rPr>
            </w:pPr>
          </w:p>
        </w:tc>
        <w:tc>
          <w:tcPr>
            <w:tcW w:w="1269" w:type="dxa"/>
            <w:vAlign w:val="center"/>
          </w:tcPr>
          <w:p>
            <w:pPr>
              <w:widowControl/>
              <w:spacing w:line="240" w:lineRule="auto"/>
              <w:jc w:val="center"/>
              <w:rPr>
                <w:rFonts w:hAnsi="宋体"/>
                <w:sz w:val="22"/>
              </w:rPr>
            </w:pPr>
            <w:r>
              <w:rPr>
                <w:rFonts w:hint="eastAsia"/>
                <w:sz w:val="22"/>
              </w:rPr>
              <w:t>2017.12.22</w:t>
            </w:r>
          </w:p>
        </w:tc>
        <w:tc>
          <w:tcPr>
            <w:tcW w:w="911" w:type="dxa"/>
            <w:vAlign w:val="center"/>
          </w:tcPr>
          <w:p>
            <w:pPr>
              <w:spacing w:line="240" w:lineRule="auto"/>
              <w:jc w:val="center"/>
              <w:rPr>
                <w:color w:val="000000"/>
                <w:sz w:val="22"/>
              </w:rPr>
            </w:pPr>
            <w:r>
              <w:rPr>
                <w:rFonts w:hint="eastAsia"/>
                <w:color w:val="000000"/>
                <w:sz w:val="22"/>
              </w:rPr>
              <w:t>5.05</w:t>
            </w:r>
          </w:p>
        </w:tc>
        <w:tc>
          <w:tcPr>
            <w:tcW w:w="912" w:type="dxa"/>
            <w:vAlign w:val="center"/>
          </w:tcPr>
          <w:p>
            <w:pPr>
              <w:spacing w:line="240" w:lineRule="auto"/>
              <w:jc w:val="center"/>
              <w:rPr>
                <w:color w:val="000000"/>
                <w:sz w:val="22"/>
              </w:rPr>
            </w:pPr>
            <w:r>
              <w:rPr>
                <w:rFonts w:hint="eastAsia"/>
                <w:color w:val="000000"/>
                <w:sz w:val="22"/>
              </w:rPr>
              <w:t>3.60</w:t>
            </w:r>
          </w:p>
        </w:tc>
        <w:tc>
          <w:tcPr>
            <w:tcW w:w="911" w:type="dxa"/>
            <w:vAlign w:val="center"/>
          </w:tcPr>
          <w:p>
            <w:pPr>
              <w:spacing w:line="240" w:lineRule="auto"/>
              <w:jc w:val="center"/>
              <w:rPr>
                <w:color w:val="000000"/>
                <w:sz w:val="22"/>
              </w:rPr>
            </w:pPr>
            <w:r>
              <w:rPr>
                <w:rFonts w:hint="eastAsia"/>
                <w:color w:val="000000"/>
                <w:sz w:val="22"/>
              </w:rPr>
              <w:t>4.18</w:t>
            </w:r>
          </w:p>
        </w:tc>
        <w:tc>
          <w:tcPr>
            <w:tcW w:w="912" w:type="dxa"/>
            <w:vAlign w:val="center"/>
          </w:tcPr>
          <w:p>
            <w:pPr>
              <w:spacing w:line="240" w:lineRule="auto"/>
              <w:jc w:val="center"/>
              <w:rPr>
                <w:rFonts w:ascii="宋体" w:hAnsi="宋体" w:cs="宋体"/>
                <w:color w:val="000000"/>
                <w:sz w:val="22"/>
              </w:rPr>
            </w:pPr>
            <w:r>
              <w:rPr>
                <w:rFonts w:hint="eastAsia"/>
                <w:color w:val="000000"/>
                <w:sz w:val="22"/>
              </w:rPr>
              <w:t>4.28</w:t>
            </w:r>
          </w:p>
        </w:tc>
        <w:tc>
          <w:tcPr>
            <w:tcW w:w="1187" w:type="dxa"/>
            <w:vAlign w:val="center"/>
          </w:tcPr>
          <w:p>
            <w:pPr>
              <w:spacing w:line="240" w:lineRule="auto"/>
              <w:jc w:val="center"/>
              <w:rPr>
                <w:rFonts w:ascii="宋体" w:hAnsi="宋体" w:cs="宋体"/>
                <w:color w:val="000000"/>
                <w:sz w:val="22"/>
              </w:rPr>
            </w:pPr>
            <w:r>
              <w:rPr>
                <w:rFonts w:hint="eastAsia"/>
                <w:color w:val="000000"/>
                <w:sz w:val="22"/>
              </w:rPr>
              <w:t>2.84</w:t>
            </w:r>
            <w:r>
              <w:rPr>
                <w:rFonts w:hint="eastAsia" w:hAnsi="宋体"/>
                <w:sz w:val="22"/>
              </w:rPr>
              <w:t>×10</w:t>
            </w:r>
            <w:r>
              <w:rPr>
                <w:rFonts w:hint="eastAsia" w:hAnsi="宋体"/>
                <w:sz w:val="22"/>
                <w:vertAlign w:val="superscript"/>
              </w:rPr>
              <w:t>-2</w:t>
            </w:r>
          </w:p>
        </w:tc>
        <w:tc>
          <w:tcPr>
            <w:tcW w:w="1189" w:type="dxa"/>
            <w:vAlign w:val="center"/>
          </w:tcPr>
          <w:p>
            <w:pPr>
              <w:spacing w:line="240" w:lineRule="auto"/>
              <w:jc w:val="center"/>
              <w:rPr>
                <w:rFonts w:ascii="宋体" w:hAnsi="宋体" w:cs="宋体"/>
                <w:color w:val="000000"/>
                <w:sz w:val="22"/>
              </w:rPr>
            </w:pPr>
            <w:r>
              <w:rPr>
                <w:rFonts w:hint="eastAsia"/>
                <w:color w:val="000000"/>
                <w:sz w:val="22"/>
              </w:rPr>
              <w:t>2.06</w:t>
            </w:r>
            <w:r>
              <w:rPr>
                <w:rFonts w:hint="eastAsia" w:hAnsi="宋体"/>
                <w:sz w:val="22"/>
              </w:rPr>
              <w:t>×10</w:t>
            </w:r>
            <w:r>
              <w:rPr>
                <w:rFonts w:hint="eastAsia" w:hAnsi="宋体"/>
                <w:sz w:val="22"/>
                <w:vertAlign w:val="superscript"/>
              </w:rPr>
              <w:t>-2</w:t>
            </w:r>
          </w:p>
        </w:tc>
        <w:tc>
          <w:tcPr>
            <w:tcW w:w="1187" w:type="dxa"/>
            <w:vAlign w:val="center"/>
          </w:tcPr>
          <w:p>
            <w:pPr>
              <w:spacing w:line="240" w:lineRule="auto"/>
              <w:jc w:val="center"/>
              <w:rPr>
                <w:rFonts w:ascii="宋体" w:hAnsi="宋体" w:cs="宋体"/>
                <w:color w:val="000000"/>
                <w:sz w:val="22"/>
              </w:rPr>
            </w:pPr>
            <w:r>
              <w:rPr>
                <w:rFonts w:hint="eastAsia"/>
                <w:color w:val="000000"/>
                <w:sz w:val="22"/>
              </w:rPr>
              <w:t>2.34</w:t>
            </w:r>
            <w:r>
              <w:rPr>
                <w:rFonts w:hint="eastAsia" w:hAnsi="宋体"/>
                <w:sz w:val="22"/>
              </w:rPr>
              <w:t>×10</w:t>
            </w:r>
            <w:r>
              <w:rPr>
                <w:rFonts w:hint="eastAsia" w:hAnsi="宋体"/>
                <w:sz w:val="22"/>
                <w:vertAlign w:val="superscript"/>
              </w:rPr>
              <w:t>-2</w:t>
            </w:r>
          </w:p>
        </w:tc>
        <w:tc>
          <w:tcPr>
            <w:tcW w:w="1188" w:type="dxa"/>
            <w:vAlign w:val="center"/>
          </w:tcPr>
          <w:p>
            <w:pPr>
              <w:spacing w:line="240" w:lineRule="auto"/>
              <w:jc w:val="center"/>
              <w:rPr>
                <w:rFonts w:ascii="宋体" w:hAnsi="宋体" w:cs="宋体"/>
                <w:color w:val="000000"/>
                <w:sz w:val="22"/>
              </w:rPr>
            </w:pPr>
            <w:r>
              <w:rPr>
                <w:rFonts w:hint="eastAsia"/>
                <w:color w:val="000000"/>
                <w:sz w:val="22"/>
              </w:rPr>
              <w:t>2.41</w:t>
            </w:r>
            <w:r>
              <w:rPr>
                <w:rFonts w:hint="eastAsia" w:hAnsi="宋体"/>
                <w:sz w:val="22"/>
              </w:rPr>
              <w:t>×10</w:t>
            </w:r>
            <w:r>
              <w:rPr>
                <w:rFonts w:hint="eastAsia" w:hAnsi="宋体"/>
                <w:sz w:val="22"/>
                <w:vertAlign w:val="superscript"/>
              </w:rPr>
              <w:t>-2</w:t>
            </w:r>
          </w:p>
        </w:tc>
        <w:tc>
          <w:tcPr>
            <w:tcW w:w="1241" w:type="dxa"/>
            <w:vMerge w:val="continue"/>
            <w:vAlign w:val="center"/>
          </w:tcPr>
          <w:p>
            <w:pPr>
              <w:spacing w:line="240" w:lineRule="auto"/>
              <w:jc w:val="center"/>
              <w:rPr>
                <w:sz w:val="22"/>
              </w:rPr>
            </w:pPr>
          </w:p>
        </w:tc>
        <w:tc>
          <w:tcPr>
            <w:tcW w:w="1100" w:type="dxa"/>
            <w:vMerge w:val="continue"/>
            <w:vAlign w:val="center"/>
          </w:tcPr>
          <w:p>
            <w:pPr>
              <w:spacing w:line="240" w:lineRule="auto"/>
              <w:jc w:val="center"/>
              <w:rPr>
                <w:sz w:val="22"/>
              </w:rPr>
            </w:pPr>
          </w:p>
        </w:tc>
        <w:tc>
          <w:tcPr>
            <w:tcW w:w="864" w:type="dxa"/>
            <w:vMerge w:val="continue"/>
            <w:vAlign w:val="center"/>
          </w:tcPr>
          <w:p>
            <w:pPr>
              <w:spacing w:line="240" w:lineRule="auto"/>
              <w:jc w:val="center"/>
              <w:rPr>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939" w:type="dxa"/>
            <w:vMerge w:val="continue"/>
            <w:vAlign w:val="center"/>
          </w:tcPr>
          <w:p>
            <w:pPr>
              <w:spacing w:line="240" w:lineRule="auto"/>
              <w:jc w:val="center"/>
              <w:rPr>
                <w:sz w:val="22"/>
              </w:rPr>
            </w:pPr>
          </w:p>
        </w:tc>
        <w:tc>
          <w:tcPr>
            <w:tcW w:w="1311" w:type="dxa"/>
            <w:vMerge w:val="restart"/>
            <w:vAlign w:val="center"/>
          </w:tcPr>
          <w:p>
            <w:pPr>
              <w:spacing w:line="240" w:lineRule="auto"/>
              <w:jc w:val="center"/>
              <w:rPr>
                <w:sz w:val="22"/>
              </w:rPr>
            </w:pPr>
            <w:r>
              <w:rPr>
                <w:rFonts w:hint="eastAsia"/>
                <w:sz w:val="22"/>
              </w:rPr>
              <w:t>标干流量（</w:t>
            </w:r>
            <w:r>
              <w:rPr>
                <w:sz w:val="22"/>
              </w:rPr>
              <w:t>m</w:t>
            </w:r>
            <w:r>
              <w:rPr>
                <w:sz w:val="22"/>
                <w:vertAlign w:val="superscript"/>
              </w:rPr>
              <w:t>3</w:t>
            </w:r>
            <w:r>
              <w:rPr>
                <w:sz w:val="22"/>
              </w:rPr>
              <w:t>/h</w:t>
            </w:r>
            <w:r>
              <w:rPr>
                <w:rFonts w:hint="eastAsia"/>
                <w:sz w:val="22"/>
              </w:rPr>
              <w:t>）</w:t>
            </w:r>
          </w:p>
        </w:tc>
        <w:tc>
          <w:tcPr>
            <w:tcW w:w="1269" w:type="dxa"/>
            <w:vAlign w:val="center"/>
          </w:tcPr>
          <w:p>
            <w:pPr>
              <w:widowControl/>
              <w:spacing w:line="240" w:lineRule="auto"/>
              <w:jc w:val="center"/>
              <w:rPr>
                <w:rFonts w:hAnsi="宋体"/>
                <w:sz w:val="22"/>
              </w:rPr>
            </w:pPr>
            <w:r>
              <w:rPr>
                <w:rFonts w:hint="eastAsia" w:hAnsi="宋体"/>
                <w:sz w:val="22"/>
              </w:rPr>
              <w:t>2017.12.21</w:t>
            </w:r>
          </w:p>
        </w:tc>
        <w:tc>
          <w:tcPr>
            <w:tcW w:w="911" w:type="dxa"/>
            <w:vAlign w:val="center"/>
          </w:tcPr>
          <w:p>
            <w:pPr>
              <w:spacing w:line="240" w:lineRule="auto"/>
              <w:jc w:val="center"/>
              <w:rPr>
                <w:color w:val="000000"/>
                <w:sz w:val="22"/>
              </w:rPr>
            </w:pPr>
            <w:r>
              <w:rPr>
                <w:rFonts w:hint="eastAsia"/>
                <w:color w:val="000000"/>
                <w:sz w:val="22"/>
              </w:rPr>
              <w:t>5769</w:t>
            </w:r>
          </w:p>
        </w:tc>
        <w:tc>
          <w:tcPr>
            <w:tcW w:w="912" w:type="dxa"/>
            <w:vAlign w:val="center"/>
          </w:tcPr>
          <w:p>
            <w:pPr>
              <w:spacing w:line="240" w:lineRule="auto"/>
              <w:jc w:val="center"/>
              <w:rPr>
                <w:color w:val="000000"/>
                <w:sz w:val="22"/>
              </w:rPr>
            </w:pPr>
            <w:r>
              <w:rPr>
                <w:rFonts w:hint="eastAsia"/>
                <w:color w:val="000000"/>
                <w:sz w:val="22"/>
              </w:rPr>
              <w:t>5802</w:t>
            </w:r>
          </w:p>
        </w:tc>
        <w:tc>
          <w:tcPr>
            <w:tcW w:w="911" w:type="dxa"/>
            <w:vAlign w:val="center"/>
          </w:tcPr>
          <w:p>
            <w:pPr>
              <w:spacing w:line="240" w:lineRule="auto"/>
              <w:jc w:val="center"/>
              <w:rPr>
                <w:color w:val="000000"/>
                <w:sz w:val="22"/>
              </w:rPr>
            </w:pPr>
            <w:r>
              <w:rPr>
                <w:rFonts w:hint="eastAsia"/>
                <w:color w:val="000000"/>
                <w:sz w:val="22"/>
              </w:rPr>
              <w:t>5815</w:t>
            </w:r>
          </w:p>
        </w:tc>
        <w:tc>
          <w:tcPr>
            <w:tcW w:w="912" w:type="dxa"/>
            <w:vAlign w:val="center"/>
          </w:tcPr>
          <w:p>
            <w:pPr>
              <w:spacing w:line="240" w:lineRule="auto"/>
              <w:jc w:val="center"/>
              <w:rPr>
                <w:rFonts w:ascii="宋体" w:hAnsi="宋体" w:cs="宋体"/>
                <w:color w:val="000000"/>
                <w:sz w:val="22"/>
              </w:rPr>
            </w:pPr>
            <w:r>
              <w:rPr>
                <w:rFonts w:hint="eastAsia"/>
                <w:color w:val="000000"/>
                <w:sz w:val="22"/>
              </w:rPr>
              <w:t>5795</w:t>
            </w:r>
          </w:p>
        </w:tc>
        <w:tc>
          <w:tcPr>
            <w:tcW w:w="1187" w:type="dxa"/>
            <w:vAlign w:val="center"/>
          </w:tcPr>
          <w:p>
            <w:pPr>
              <w:spacing w:line="240" w:lineRule="auto"/>
              <w:jc w:val="center"/>
            </w:pPr>
            <w:r>
              <w:rPr>
                <w:rFonts w:hint="eastAsia" w:hAnsi="宋体"/>
                <w:sz w:val="22"/>
              </w:rPr>
              <w:t>—</w:t>
            </w:r>
          </w:p>
        </w:tc>
        <w:tc>
          <w:tcPr>
            <w:tcW w:w="1189" w:type="dxa"/>
            <w:vAlign w:val="center"/>
          </w:tcPr>
          <w:p>
            <w:pPr>
              <w:spacing w:line="240" w:lineRule="auto"/>
              <w:jc w:val="center"/>
            </w:pPr>
            <w:r>
              <w:rPr>
                <w:rFonts w:hint="eastAsia" w:hAnsi="宋体"/>
                <w:sz w:val="22"/>
              </w:rPr>
              <w:t>—</w:t>
            </w:r>
          </w:p>
        </w:tc>
        <w:tc>
          <w:tcPr>
            <w:tcW w:w="1187" w:type="dxa"/>
            <w:vAlign w:val="center"/>
          </w:tcPr>
          <w:p>
            <w:pPr>
              <w:spacing w:line="240" w:lineRule="auto"/>
              <w:jc w:val="center"/>
            </w:pPr>
            <w:r>
              <w:rPr>
                <w:rFonts w:hint="eastAsia" w:hAnsi="宋体"/>
                <w:sz w:val="22"/>
              </w:rPr>
              <w:t>—</w:t>
            </w:r>
          </w:p>
        </w:tc>
        <w:tc>
          <w:tcPr>
            <w:tcW w:w="1188" w:type="dxa"/>
            <w:vAlign w:val="center"/>
          </w:tcPr>
          <w:p>
            <w:pPr>
              <w:spacing w:line="240" w:lineRule="auto"/>
              <w:jc w:val="center"/>
            </w:pPr>
            <w:r>
              <w:rPr>
                <w:rFonts w:hint="eastAsia" w:hAnsi="宋体"/>
                <w:sz w:val="22"/>
              </w:rPr>
              <w:t>—</w:t>
            </w:r>
          </w:p>
        </w:tc>
        <w:tc>
          <w:tcPr>
            <w:tcW w:w="1241" w:type="dxa"/>
            <w:vMerge w:val="restart"/>
            <w:vAlign w:val="center"/>
          </w:tcPr>
          <w:p>
            <w:pPr>
              <w:spacing w:line="240" w:lineRule="auto"/>
              <w:jc w:val="center"/>
              <w:rPr>
                <w:sz w:val="22"/>
              </w:rPr>
            </w:pPr>
            <w:r>
              <w:rPr>
                <w:rFonts w:hint="eastAsia"/>
                <w:sz w:val="22"/>
              </w:rPr>
              <w:t>—</w:t>
            </w:r>
          </w:p>
        </w:tc>
        <w:tc>
          <w:tcPr>
            <w:tcW w:w="1100" w:type="dxa"/>
            <w:vMerge w:val="restart"/>
            <w:vAlign w:val="center"/>
          </w:tcPr>
          <w:p>
            <w:pPr>
              <w:spacing w:line="240" w:lineRule="auto"/>
              <w:jc w:val="center"/>
              <w:rPr>
                <w:sz w:val="22"/>
              </w:rPr>
            </w:pPr>
            <w:r>
              <w:rPr>
                <w:rFonts w:hint="eastAsia"/>
                <w:sz w:val="22"/>
              </w:rPr>
              <w:t>—</w:t>
            </w:r>
          </w:p>
        </w:tc>
        <w:tc>
          <w:tcPr>
            <w:tcW w:w="864" w:type="dxa"/>
            <w:vMerge w:val="continue"/>
            <w:vAlign w:val="center"/>
          </w:tcPr>
          <w:p>
            <w:pPr>
              <w:spacing w:line="240" w:lineRule="auto"/>
              <w:jc w:val="center"/>
              <w:rPr>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939" w:type="dxa"/>
            <w:vMerge w:val="continue"/>
            <w:vAlign w:val="center"/>
          </w:tcPr>
          <w:p>
            <w:pPr>
              <w:spacing w:line="240" w:lineRule="auto"/>
              <w:jc w:val="center"/>
              <w:rPr>
                <w:sz w:val="22"/>
              </w:rPr>
            </w:pPr>
          </w:p>
        </w:tc>
        <w:tc>
          <w:tcPr>
            <w:tcW w:w="1311" w:type="dxa"/>
            <w:vMerge w:val="continue"/>
            <w:vAlign w:val="center"/>
          </w:tcPr>
          <w:p>
            <w:pPr>
              <w:spacing w:line="240" w:lineRule="auto"/>
              <w:jc w:val="center"/>
              <w:rPr>
                <w:sz w:val="22"/>
              </w:rPr>
            </w:pPr>
          </w:p>
        </w:tc>
        <w:tc>
          <w:tcPr>
            <w:tcW w:w="1269" w:type="dxa"/>
            <w:vAlign w:val="center"/>
          </w:tcPr>
          <w:p>
            <w:pPr>
              <w:widowControl/>
              <w:spacing w:line="240" w:lineRule="auto"/>
              <w:jc w:val="center"/>
              <w:rPr>
                <w:rFonts w:hAnsi="宋体"/>
                <w:sz w:val="22"/>
              </w:rPr>
            </w:pPr>
            <w:r>
              <w:rPr>
                <w:rFonts w:hint="eastAsia" w:hAnsi="宋体"/>
                <w:sz w:val="22"/>
              </w:rPr>
              <w:t>2017.12.22</w:t>
            </w:r>
          </w:p>
        </w:tc>
        <w:tc>
          <w:tcPr>
            <w:tcW w:w="911" w:type="dxa"/>
            <w:vAlign w:val="center"/>
          </w:tcPr>
          <w:p>
            <w:pPr>
              <w:spacing w:line="240" w:lineRule="auto"/>
              <w:jc w:val="center"/>
              <w:rPr>
                <w:color w:val="000000"/>
                <w:sz w:val="22"/>
              </w:rPr>
            </w:pPr>
            <w:r>
              <w:rPr>
                <w:rFonts w:hint="eastAsia"/>
                <w:color w:val="000000"/>
                <w:sz w:val="22"/>
              </w:rPr>
              <w:t>5628</w:t>
            </w:r>
          </w:p>
        </w:tc>
        <w:tc>
          <w:tcPr>
            <w:tcW w:w="912" w:type="dxa"/>
            <w:vAlign w:val="center"/>
          </w:tcPr>
          <w:p>
            <w:pPr>
              <w:spacing w:line="240" w:lineRule="auto"/>
              <w:jc w:val="center"/>
              <w:rPr>
                <w:color w:val="000000"/>
                <w:sz w:val="22"/>
              </w:rPr>
            </w:pPr>
            <w:r>
              <w:rPr>
                <w:rFonts w:hint="eastAsia"/>
                <w:color w:val="000000"/>
                <w:sz w:val="22"/>
              </w:rPr>
              <w:t>5736</w:t>
            </w:r>
          </w:p>
        </w:tc>
        <w:tc>
          <w:tcPr>
            <w:tcW w:w="911" w:type="dxa"/>
            <w:vAlign w:val="center"/>
          </w:tcPr>
          <w:p>
            <w:pPr>
              <w:spacing w:line="240" w:lineRule="auto"/>
              <w:jc w:val="center"/>
              <w:rPr>
                <w:color w:val="000000"/>
                <w:sz w:val="22"/>
              </w:rPr>
            </w:pPr>
            <w:r>
              <w:rPr>
                <w:rFonts w:hint="eastAsia"/>
                <w:color w:val="000000"/>
                <w:sz w:val="22"/>
              </w:rPr>
              <w:t>5593</w:t>
            </w:r>
          </w:p>
        </w:tc>
        <w:tc>
          <w:tcPr>
            <w:tcW w:w="912" w:type="dxa"/>
            <w:vAlign w:val="center"/>
          </w:tcPr>
          <w:p>
            <w:pPr>
              <w:spacing w:line="240" w:lineRule="auto"/>
              <w:jc w:val="center"/>
              <w:rPr>
                <w:rFonts w:ascii="宋体" w:hAnsi="宋体" w:cs="宋体"/>
                <w:color w:val="000000"/>
                <w:sz w:val="22"/>
              </w:rPr>
            </w:pPr>
            <w:r>
              <w:rPr>
                <w:rFonts w:hint="eastAsia"/>
                <w:color w:val="000000"/>
                <w:sz w:val="22"/>
              </w:rPr>
              <w:t>5652</w:t>
            </w:r>
          </w:p>
        </w:tc>
        <w:tc>
          <w:tcPr>
            <w:tcW w:w="1187" w:type="dxa"/>
            <w:vAlign w:val="center"/>
          </w:tcPr>
          <w:p>
            <w:pPr>
              <w:spacing w:line="240" w:lineRule="auto"/>
              <w:jc w:val="center"/>
            </w:pPr>
            <w:r>
              <w:rPr>
                <w:rFonts w:hint="eastAsia" w:hAnsi="宋体"/>
                <w:sz w:val="22"/>
              </w:rPr>
              <w:t>—</w:t>
            </w:r>
          </w:p>
        </w:tc>
        <w:tc>
          <w:tcPr>
            <w:tcW w:w="1189" w:type="dxa"/>
            <w:vAlign w:val="center"/>
          </w:tcPr>
          <w:p>
            <w:pPr>
              <w:spacing w:line="240" w:lineRule="auto"/>
              <w:jc w:val="center"/>
            </w:pPr>
            <w:r>
              <w:rPr>
                <w:rFonts w:hint="eastAsia" w:hAnsi="宋体"/>
                <w:sz w:val="22"/>
              </w:rPr>
              <w:t>—</w:t>
            </w:r>
          </w:p>
        </w:tc>
        <w:tc>
          <w:tcPr>
            <w:tcW w:w="1187" w:type="dxa"/>
            <w:vAlign w:val="center"/>
          </w:tcPr>
          <w:p>
            <w:pPr>
              <w:spacing w:line="240" w:lineRule="auto"/>
              <w:jc w:val="center"/>
            </w:pPr>
            <w:r>
              <w:rPr>
                <w:rFonts w:hint="eastAsia" w:hAnsi="宋体"/>
                <w:sz w:val="22"/>
              </w:rPr>
              <w:t>—</w:t>
            </w:r>
          </w:p>
        </w:tc>
        <w:tc>
          <w:tcPr>
            <w:tcW w:w="1188" w:type="dxa"/>
            <w:vAlign w:val="center"/>
          </w:tcPr>
          <w:p>
            <w:pPr>
              <w:spacing w:line="240" w:lineRule="auto"/>
              <w:jc w:val="center"/>
            </w:pPr>
            <w:r>
              <w:rPr>
                <w:rFonts w:hint="eastAsia" w:hAnsi="宋体"/>
                <w:sz w:val="22"/>
              </w:rPr>
              <w:t>—</w:t>
            </w:r>
          </w:p>
        </w:tc>
        <w:tc>
          <w:tcPr>
            <w:tcW w:w="1241" w:type="dxa"/>
            <w:vMerge w:val="continue"/>
            <w:vAlign w:val="center"/>
          </w:tcPr>
          <w:p>
            <w:pPr>
              <w:spacing w:line="240" w:lineRule="auto"/>
              <w:jc w:val="center"/>
              <w:rPr>
                <w:sz w:val="22"/>
              </w:rPr>
            </w:pPr>
          </w:p>
        </w:tc>
        <w:tc>
          <w:tcPr>
            <w:tcW w:w="1100" w:type="dxa"/>
            <w:vMerge w:val="continue"/>
            <w:vAlign w:val="center"/>
          </w:tcPr>
          <w:p>
            <w:pPr>
              <w:spacing w:line="240" w:lineRule="auto"/>
              <w:jc w:val="center"/>
              <w:rPr>
                <w:sz w:val="22"/>
              </w:rPr>
            </w:pPr>
          </w:p>
        </w:tc>
        <w:tc>
          <w:tcPr>
            <w:tcW w:w="864" w:type="dxa"/>
            <w:vMerge w:val="continue"/>
            <w:vAlign w:val="center"/>
          </w:tcPr>
          <w:p>
            <w:pPr>
              <w:spacing w:line="240" w:lineRule="auto"/>
              <w:jc w:val="center"/>
              <w:rPr>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44" w:hRule="atLeast"/>
          <w:jc w:val="center"/>
        </w:trPr>
        <w:tc>
          <w:tcPr>
            <w:tcW w:w="15121" w:type="dxa"/>
            <w:gridSpan w:val="14"/>
          </w:tcPr>
          <w:p>
            <w:pPr>
              <w:spacing w:line="240" w:lineRule="auto"/>
              <w:ind w:left="330" w:hanging="330" w:hangingChars="150"/>
              <w:rPr>
                <w:rFonts w:hAnsi="宋体"/>
                <w:sz w:val="22"/>
              </w:rPr>
            </w:pPr>
            <w:r>
              <w:rPr>
                <w:rFonts w:hint="eastAsia"/>
                <w:sz w:val="22"/>
              </w:rPr>
              <w:t>备注：1、该项目非甲烷总烃</w:t>
            </w:r>
            <w:r>
              <w:rPr>
                <w:rFonts w:hint="eastAsia" w:hAnsi="宋体"/>
                <w:sz w:val="22"/>
              </w:rPr>
              <w:t>排放参照执行《大气污染物综合排放标准》（GB 16297-1996）表2中二级标准要求；</w:t>
            </w:r>
          </w:p>
          <w:p>
            <w:pPr>
              <w:spacing w:line="240" w:lineRule="auto"/>
              <w:ind w:left="330" w:hanging="330" w:hangingChars="150"/>
              <w:rPr>
                <w:sz w:val="22"/>
              </w:rPr>
            </w:pPr>
            <w:r>
              <w:rPr>
                <w:rFonts w:hint="eastAsia" w:hAnsi="宋体"/>
                <w:sz w:val="22"/>
              </w:rPr>
              <w:t xml:space="preserve">      2、根据本次监测数据计算，</w:t>
            </w:r>
            <w:r>
              <w:rPr>
                <w:rFonts w:hint="eastAsia"/>
                <w:sz w:val="22"/>
              </w:rPr>
              <w:t>非甲烷总烃处理效率为67%。</w:t>
            </w:r>
          </w:p>
        </w:tc>
      </w:tr>
    </w:tbl>
    <w:p>
      <w:pPr>
        <w:widowControl/>
        <w:shd w:val="clear" w:color="auto" w:fill="FFFFFF"/>
        <w:spacing w:line="240" w:lineRule="auto"/>
        <w:jc w:val="center"/>
        <w:rPr>
          <w:color w:val="3E3E3E"/>
          <w:kern w:val="0"/>
          <w:sz w:val="24"/>
          <w:szCs w:val="26"/>
        </w:rPr>
      </w:pPr>
    </w:p>
    <w:p>
      <w:pPr>
        <w:widowControl/>
        <w:shd w:val="clear" w:color="auto" w:fill="FFFFFF"/>
        <w:spacing w:line="240" w:lineRule="auto"/>
        <w:jc w:val="center"/>
        <w:rPr>
          <w:color w:val="3E3E3E"/>
          <w:kern w:val="0"/>
          <w:sz w:val="24"/>
          <w:szCs w:val="26"/>
        </w:rPr>
      </w:pPr>
      <w:r>
        <w:rPr>
          <w:rFonts w:hint="eastAsia"/>
          <w:color w:val="3E3E3E"/>
          <w:kern w:val="0"/>
          <w:sz w:val="24"/>
          <w:szCs w:val="26"/>
        </w:rPr>
        <w:t>表9-1  有组织</w:t>
      </w:r>
      <w:r>
        <w:rPr>
          <w:color w:val="3E3E3E"/>
          <w:kern w:val="0"/>
          <w:sz w:val="24"/>
          <w:szCs w:val="26"/>
        </w:rPr>
        <w:t>废气监测数据一览表</w:t>
      </w:r>
    </w:p>
    <w:tbl>
      <w:tblPr>
        <w:tblStyle w:val="47"/>
        <w:tblW w:w="15439" w:type="dxa"/>
        <w:jc w:val="center"/>
        <w:tblInd w:w="-108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2"/>
        <w:gridCol w:w="1034"/>
        <w:gridCol w:w="1201"/>
        <w:gridCol w:w="1109"/>
        <w:gridCol w:w="1110"/>
        <w:gridCol w:w="1109"/>
        <w:gridCol w:w="1110"/>
        <w:gridCol w:w="1150"/>
        <w:gridCol w:w="1136"/>
        <w:gridCol w:w="1136"/>
        <w:gridCol w:w="1143"/>
        <w:gridCol w:w="1235"/>
        <w:gridCol w:w="1054"/>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34" w:hRule="atLeast"/>
          <w:jc w:val="center"/>
        </w:trPr>
        <w:tc>
          <w:tcPr>
            <w:tcW w:w="1012" w:type="dxa"/>
            <w:vMerge w:val="restart"/>
            <w:vAlign w:val="center"/>
          </w:tcPr>
          <w:p>
            <w:pPr>
              <w:adjustRightInd/>
              <w:snapToGrid/>
              <w:spacing w:line="240" w:lineRule="auto"/>
              <w:jc w:val="center"/>
              <w:rPr>
                <w:rFonts w:eastAsia="宋体"/>
                <w:sz w:val="21"/>
                <w:szCs w:val="21"/>
              </w:rPr>
            </w:pPr>
            <w:r>
              <w:rPr>
                <w:rFonts w:hint="eastAsia" w:eastAsia="宋体"/>
                <w:sz w:val="21"/>
                <w:szCs w:val="21"/>
              </w:rPr>
              <w:t>设施</w:t>
            </w:r>
          </w:p>
        </w:tc>
        <w:tc>
          <w:tcPr>
            <w:tcW w:w="1034" w:type="dxa"/>
            <w:vMerge w:val="restart"/>
            <w:vAlign w:val="center"/>
          </w:tcPr>
          <w:p>
            <w:pPr>
              <w:adjustRightInd/>
              <w:snapToGrid/>
              <w:spacing w:line="240" w:lineRule="auto"/>
              <w:jc w:val="center"/>
              <w:rPr>
                <w:rFonts w:eastAsia="宋体"/>
                <w:sz w:val="21"/>
                <w:szCs w:val="21"/>
              </w:rPr>
            </w:pPr>
            <w:r>
              <w:rPr>
                <w:rFonts w:hint="eastAsia" w:eastAsia="宋体"/>
                <w:sz w:val="21"/>
                <w:szCs w:val="21"/>
              </w:rPr>
              <w:t>监测项目</w:t>
            </w:r>
          </w:p>
        </w:tc>
        <w:tc>
          <w:tcPr>
            <w:tcW w:w="1201" w:type="dxa"/>
            <w:vMerge w:val="restart"/>
            <w:vAlign w:val="center"/>
          </w:tcPr>
          <w:p>
            <w:pPr>
              <w:adjustRightInd/>
              <w:snapToGrid/>
              <w:spacing w:line="240" w:lineRule="auto"/>
              <w:jc w:val="center"/>
              <w:rPr>
                <w:rFonts w:eastAsia="宋体"/>
                <w:sz w:val="21"/>
                <w:szCs w:val="21"/>
              </w:rPr>
            </w:pPr>
            <w:r>
              <w:rPr>
                <w:rFonts w:hint="eastAsia" w:eastAsia="宋体"/>
                <w:sz w:val="21"/>
                <w:szCs w:val="21"/>
              </w:rPr>
              <w:t>监测日期</w:t>
            </w:r>
          </w:p>
        </w:tc>
        <w:tc>
          <w:tcPr>
            <w:tcW w:w="9003" w:type="dxa"/>
            <w:gridSpan w:val="8"/>
            <w:vAlign w:val="center"/>
          </w:tcPr>
          <w:p>
            <w:pPr>
              <w:adjustRightInd/>
              <w:snapToGrid/>
              <w:spacing w:line="240" w:lineRule="auto"/>
              <w:jc w:val="center"/>
              <w:rPr>
                <w:rFonts w:eastAsia="宋体"/>
                <w:sz w:val="21"/>
                <w:szCs w:val="21"/>
              </w:rPr>
            </w:pPr>
            <w:r>
              <w:rPr>
                <w:rFonts w:hint="eastAsia" w:eastAsia="宋体"/>
                <w:sz w:val="21"/>
                <w:szCs w:val="21"/>
              </w:rPr>
              <w:t>监测结果</w:t>
            </w:r>
          </w:p>
        </w:tc>
        <w:tc>
          <w:tcPr>
            <w:tcW w:w="2289" w:type="dxa"/>
            <w:gridSpan w:val="2"/>
            <w:vAlign w:val="center"/>
          </w:tcPr>
          <w:p>
            <w:pPr>
              <w:adjustRightInd/>
              <w:snapToGrid/>
              <w:spacing w:line="240" w:lineRule="auto"/>
              <w:jc w:val="center"/>
              <w:rPr>
                <w:rFonts w:eastAsia="宋体"/>
                <w:sz w:val="21"/>
                <w:szCs w:val="21"/>
              </w:rPr>
            </w:pPr>
            <w:r>
              <w:rPr>
                <w:rFonts w:hint="eastAsia" w:eastAsia="宋体"/>
                <w:sz w:val="21"/>
                <w:szCs w:val="21"/>
              </w:rPr>
              <w:t>执行标准值</w:t>
            </w:r>
          </w:p>
        </w:tc>
        <w:tc>
          <w:tcPr>
            <w:tcW w:w="900" w:type="dxa"/>
            <w:vMerge w:val="restart"/>
            <w:vAlign w:val="center"/>
          </w:tcPr>
          <w:p>
            <w:pPr>
              <w:adjustRightInd/>
              <w:snapToGrid/>
              <w:spacing w:line="240" w:lineRule="auto"/>
              <w:jc w:val="center"/>
              <w:rPr>
                <w:rFonts w:eastAsia="宋体"/>
                <w:sz w:val="21"/>
                <w:szCs w:val="21"/>
              </w:rPr>
            </w:pPr>
            <w:r>
              <w:rPr>
                <w:rFonts w:eastAsia="宋体"/>
                <w:spacing w:val="-6"/>
                <w:sz w:val="21"/>
                <w:szCs w:val="21"/>
              </w:rPr>
              <w:t>高度/内径（m）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34"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continue"/>
          </w:tcPr>
          <w:p>
            <w:pPr>
              <w:adjustRightInd/>
              <w:snapToGrid/>
              <w:spacing w:line="240" w:lineRule="auto"/>
              <w:jc w:val="center"/>
              <w:rPr>
                <w:rFonts w:eastAsia="宋体"/>
                <w:sz w:val="21"/>
                <w:szCs w:val="21"/>
              </w:rPr>
            </w:pPr>
          </w:p>
        </w:tc>
        <w:tc>
          <w:tcPr>
            <w:tcW w:w="1201" w:type="dxa"/>
            <w:vMerge w:val="continue"/>
            <w:vAlign w:val="center"/>
          </w:tcPr>
          <w:p>
            <w:pPr>
              <w:adjustRightInd/>
              <w:snapToGrid/>
              <w:spacing w:line="240" w:lineRule="auto"/>
              <w:jc w:val="center"/>
              <w:rPr>
                <w:rFonts w:eastAsia="宋体"/>
                <w:sz w:val="21"/>
                <w:szCs w:val="21"/>
              </w:rPr>
            </w:pPr>
          </w:p>
        </w:tc>
        <w:tc>
          <w:tcPr>
            <w:tcW w:w="4438" w:type="dxa"/>
            <w:gridSpan w:val="4"/>
            <w:vAlign w:val="center"/>
          </w:tcPr>
          <w:p>
            <w:pPr>
              <w:adjustRightInd/>
              <w:snapToGrid/>
              <w:spacing w:line="240" w:lineRule="auto"/>
              <w:jc w:val="center"/>
              <w:rPr>
                <w:rFonts w:eastAsia="宋体"/>
                <w:sz w:val="21"/>
                <w:szCs w:val="21"/>
              </w:rPr>
            </w:pPr>
            <w:r>
              <w:rPr>
                <w:rFonts w:hint="eastAsia" w:eastAsia="宋体"/>
                <w:sz w:val="21"/>
                <w:szCs w:val="21"/>
              </w:rPr>
              <w:t>排放浓度</w:t>
            </w:r>
            <w:r>
              <w:rPr>
                <w:rFonts w:eastAsia="宋体"/>
                <w:sz w:val="21"/>
                <w:szCs w:val="21"/>
              </w:rPr>
              <w:t>（mg/m</w:t>
            </w:r>
            <w:r>
              <w:rPr>
                <w:rFonts w:eastAsia="宋体"/>
                <w:sz w:val="21"/>
                <w:szCs w:val="21"/>
                <w:vertAlign w:val="superscript"/>
              </w:rPr>
              <w:t>3</w:t>
            </w:r>
            <w:r>
              <w:rPr>
                <w:rFonts w:eastAsia="宋体"/>
                <w:sz w:val="21"/>
                <w:szCs w:val="21"/>
              </w:rPr>
              <w:t>）</w:t>
            </w:r>
          </w:p>
        </w:tc>
        <w:tc>
          <w:tcPr>
            <w:tcW w:w="4565" w:type="dxa"/>
            <w:gridSpan w:val="4"/>
            <w:vAlign w:val="center"/>
          </w:tcPr>
          <w:p>
            <w:pPr>
              <w:adjustRightInd/>
              <w:snapToGrid/>
              <w:spacing w:line="240" w:lineRule="auto"/>
              <w:jc w:val="center"/>
              <w:rPr>
                <w:rFonts w:eastAsia="宋体"/>
                <w:sz w:val="21"/>
                <w:szCs w:val="21"/>
              </w:rPr>
            </w:pPr>
            <w:r>
              <w:rPr>
                <w:rFonts w:hint="eastAsia" w:eastAsia="宋体"/>
                <w:sz w:val="21"/>
                <w:szCs w:val="21"/>
              </w:rPr>
              <w:t>排放速率</w:t>
            </w:r>
            <w:r>
              <w:rPr>
                <w:rFonts w:eastAsia="宋体"/>
                <w:sz w:val="21"/>
                <w:szCs w:val="21"/>
              </w:rPr>
              <w:t>（</w:t>
            </w:r>
            <w:r>
              <w:rPr>
                <w:rFonts w:hint="eastAsia" w:eastAsia="宋体"/>
                <w:sz w:val="21"/>
                <w:szCs w:val="21"/>
              </w:rPr>
              <w:t>kg</w:t>
            </w:r>
            <w:r>
              <w:rPr>
                <w:rFonts w:eastAsia="宋体"/>
                <w:sz w:val="21"/>
                <w:szCs w:val="21"/>
              </w:rPr>
              <w:t>/</w:t>
            </w:r>
            <w:r>
              <w:rPr>
                <w:rFonts w:hint="eastAsia" w:eastAsia="宋体"/>
                <w:sz w:val="21"/>
                <w:szCs w:val="21"/>
              </w:rPr>
              <w:t>h</w:t>
            </w:r>
            <w:r>
              <w:rPr>
                <w:rFonts w:eastAsia="宋体"/>
                <w:sz w:val="21"/>
                <w:szCs w:val="21"/>
              </w:rPr>
              <w:t>）</w:t>
            </w:r>
          </w:p>
        </w:tc>
        <w:tc>
          <w:tcPr>
            <w:tcW w:w="1235" w:type="dxa"/>
            <w:vMerge w:val="restart"/>
            <w:vAlign w:val="center"/>
          </w:tcPr>
          <w:p>
            <w:pPr>
              <w:adjustRightInd/>
              <w:snapToGrid/>
              <w:spacing w:line="240" w:lineRule="auto"/>
              <w:jc w:val="center"/>
              <w:rPr>
                <w:rFonts w:eastAsia="宋体"/>
                <w:sz w:val="21"/>
                <w:szCs w:val="21"/>
              </w:rPr>
            </w:pPr>
            <w:r>
              <w:rPr>
                <w:rFonts w:hint="eastAsia" w:eastAsia="宋体"/>
                <w:sz w:val="21"/>
                <w:szCs w:val="21"/>
              </w:rPr>
              <w:t>排放浓度</w:t>
            </w:r>
            <w:r>
              <w:rPr>
                <w:rFonts w:eastAsia="宋体"/>
                <w:sz w:val="21"/>
                <w:szCs w:val="21"/>
              </w:rPr>
              <w:t>（mg/m</w:t>
            </w:r>
            <w:r>
              <w:rPr>
                <w:rFonts w:eastAsia="宋体"/>
                <w:sz w:val="21"/>
                <w:szCs w:val="21"/>
                <w:vertAlign w:val="superscript"/>
              </w:rPr>
              <w:t>3</w:t>
            </w:r>
            <w:r>
              <w:rPr>
                <w:rFonts w:eastAsia="宋体"/>
                <w:sz w:val="21"/>
                <w:szCs w:val="21"/>
              </w:rPr>
              <w:t>）</w:t>
            </w:r>
          </w:p>
        </w:tc>
        <w:tc>
          <w:tcPr>
            <w:tcW w:w="1054" w:type="dxa"/>
            <w:vMerge w:val="restart"/>
            <w:vAlign w:val="center"/>
          </w:tcPr>
          <w:p>
            <w:pPr>
              <w:adjustRightInd/>
              <w:snapToGrid/>
              <w:spacing w:line="240" w:lineRule="auto"/>
              <w:jc w:val="center"/>
              <w:rPr>
                <w:rFonts w:eastAsia="宋体"/>
                <w:sz w:val="21"/>
                <w:szCs w:val="21"/>
              </w:rPr>
            </w:pPr>
            <w:r>
              <w:rPr>
                <w:rFonts w:hint="eastAsia" w:eastAsia="宋体"/>
                <w:sz w:val="21"/>
                <w:szCs w:val="21"/>
              </w:rPr>
              <w:t>排放速率</w:t>
            </w:r>
            <w:r>
              <w:rPr>
                <w:rFonts w:eastAsia="宋体"/>
                <w:sz w:val="21"/>
                <w:szCs w:val="21"/>
              </w:rPr>
              <w:t>（kg/h）</w:t>
            </w: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34"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continue"/>
          </w:tcPr>
          <w:p>
            <w:pPr>
              <w:adjustRightInd/>
              <w:snapToGrid/>
              <w:spacing w:line="240" w:lineRule="auto"/>
              <w:jc w:val="center"/>
              <w:rPr>
                <w:rFonts w:eastAsia="宋体"/>
                <w:sz w:val="21"/>
                <w:szCs w:val="21"/>
              </w:rPr>
            </w:pPr>
          </w:p>
        </w:tc>
        <w:tc>
          <w:tcPr>
            <w:tcW w:w="1201" w:type="dxa"/>
            <w:vMerge w:val="continue"/>
            <w:vAlign w:val="center"/>
          </w:tcPr>
          <w:p>
            <w:pPr>
              <w:adjustRightInd/>
              <w:snapToGrid/>
              <w:spacing w:line="240" w:lineRule="auto"/>
              <w:jc w:val="center"/>
              <w:rPr>
                <w:rFonts w:eastAsia="宋体"/>
                <w:sz w:val="21"/>
                <w:szCs w:val="21"/>
              </w:rPr>
            </w:pP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1</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2</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3</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均值</w:t>
            </w:r>
          </w:p>
        </w:tc>
        <w:tc>
          <w:tcPr>
            <w:tcW w:w="1150" w:type="dxa"/>
            <w:vAlign w:val="center"/>
          </w:tcPr>
          <w:p>
            <w:pPr>
              <w:adjustRightInd/>
              <w:snapToGrid/>
              <w:spacing w:line="240" w:lineRule="auto"/>
              <w:jc w:val="center"/>
              <w:rPr>
                <w:rFonts w:eastAsia="宋体"/>
                <w:sz w:val="21"/>
                <w:szCs w:val="21"/>
              </w:rPr>
            </w:pPr>
            <w:r>
              <w:rPr>
                <w:rFonts w:hint="eastAsia" w:eastAsia="宋体"/>
                <w:sz w:val="21"/>
                <w:szCs w:val="21"/>
              </w:rPr>
              <w:t>1</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2</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3</w:t>
            </w:r>
          </w:p>
        </w:tc>
        <w:tc>
          <w:tcPr>
            <w:tcW w:w="1143" w:type="dxa"/>
            <w:vAlign w:val="center"/>
          </w:tcPr>
          <w:p>
            <w:pPr>
              <w:adjustRightInd/>
              <w:snapToGrid/>
              <w:spacing w:line="240" w:lineRule="auto"/>
              <w:jc w:val="center"/>
              <w:rPr>
                <w:rFonts w:eastAsia="宋体"/>
                <w:sz w:val="21"/>
                <w:szCs w:val="21"/>
              </w:rPr>
            </w:pPr>
            <w:r>
              <w:rPr>
                <w:rFonts w:hint="eastAsia" w:eastAsia="宋体"/>
                <w:sz w:val="21"/>
                <w:szCs w:val="21"/>
              </w:rPr>
              <w:t>均值</w:t>
            </w:r>
          </w:p>
        </w:tc>
        <w:tc>
          <w:tcPr>
            <w:tcW w:w="1235" w:type="dxa"/>
            <w:vMerge w:val="continue"/>
            <w:vAlign w:val="center"/>
          </w:tcPr>
          <w:p>
            <w:pPr>
              <w:adjustRightInd/>
              <w:snapToGrid/>
              <w:spacing w:line="240" w:lineRule="auto"/>
              <w:jc w:val="center"/>
              <w:rPr>
                <w:rFonts w:eastAsia="宋体"/>
                <w:sz w:val="21"/>
                <w:szCs w:val="21"/>
              </w:rPr>
            </w:pPr>
          </w:p>
        </w:tc>
        <w:tc>
          <w:tcPr>
            <w:tcW w:w="1054" w:type="dxa"/>
            <w:vMerge w:val="continue"/>
            <w:vAlign w:val="center"/>
          </w:tcPr>
          <w:p>
            <w:pPr>
              <w:adjustRightInd/>
              <w:snapToGrid/>
              <w:spacing w:line="240" w:lineRule="auto"/>
              <w:jc w:val="center"/>
              <w:rPr>
                <w:rFonts w:eastAsia="宋体"/>
                <w:sz w:val="21"/>
                <w:szCs w:val="21"/>
              </w:rPr>
            </w:pP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restart"/>
            <w:vAlign w:val="center"/>
          </w:tcPr>
          <w:p>
            <w:pPr>
              <w:adjustRightInd/>
              <w:snapToGrid/>
              <w:spacing w:line="240" w:lineRule="auto"/>
              <w:jc w:val="center"/>
              <w:rPr>
                <w:rFonts w:eastAsia="宋体"/>
                <w:sz w:val="21"/>
                <w:szCs w:val="21"/>
              </w:rPr>
            </w:pPr>
            <w:r>
              <w:rPr>
                <w:rFonts w:hint="eastAsia" w:eastAsia="宋体"/>
                <w:kern w:val="0"/>
                <w:sz w:val="21"/>
                <w:szCs w:val="21"/>
              </w:rPr>
              <w:t>2#切割工序废气排气筒（南</w:t>
            </w:r>
            <w:r>
              <w:rPr>
                <w:rFonts w:hint="eastAsia" w:eastAsia="宋体"/>
                <w:sz w:val="21"/>
                <w:szCs w:val="21"/>
              </w:rPr>
              <w:t>处理前）</w:t>
            </w:r>
          </w:p>
        </w:tc>
        <w:tc>
          <w:tcPr>
            <w:tcW w:w="1034" w:type="dxa"/>
            <w:vMerge w:val="restart"/>
            <w:vAlign w:val="center"/>
          </w:tcPr>
          <w:p>
            <w:pPr>
              <w:adjustRightInd/>
              <w:snapToGrid/>
              <w:spacing w:line="240" w:lineRule="auto"/>
              <w:jc w:val="center"/>
              <w:rPr>
                <w:rFonts w:eastAsia="宋体"/>
                <w:sz w:val="21"/>
                <w:szCs w:val="21"/>
              </w:rPr>
            </w:pPr>
            <w:r>
              <w:rPr>
                <w:rFonts w:hint="eastAsia" w:eastAsia="宋体"/>
                <w:sz w:val="21"/>
                <w:szCs w:val="21"/>
              </w:rPr>
              <w:t>颗粒物</w:t>
            </w:r>
          </w:p>
        </w:tc>
        <w:tc>
          <w:tcPr>
            <w:tcW w:w="1201" w:type="dxa"/>
            <w:vAlign w:val="center"/>
          </w:tcPr>
          <w:p>
            <w:pPr>
              <w:widowControl/>
              <w:adjustRightInd/>
              <w:snapToGrid/>
              <w:spacing w:line="240" w:lineRule="auto"/>
              <w:jc w:val="center"/>
              <w:rPr>
                <w:rFonts w:eastAsia="宋体"/>
                <w:sz w:val="21"/>
                <w:szCs w:val="21"/>
              </w:rPr>
            </w:pPr>
            <w:r>
              <w:rPr>
                <w:rFonts w:eastAsia="宋体"/>
                <w:sz w:val="21"/>
                <w:szCs w:val="21"/>
              </w:rPr>
              <w:t>2017.12.21</w:t>
            </w:r>
          </w:p>
        </w:tc>
        <w:tc>
          <w:tcPr>
            <w:tcW w:w="1109" w:type="dxa"/>
            <w:vAlign w:val="center"/>
          </w:tcPr>
          <w:p>
            <w:pPr>
              <w:adjustRightInd/>
              <w:snapToGrid/>
              <w:spacing w:line="240" w:lineRule="auto"/>
              <w:jc w:val="center"/>
              <w:rPr>
                <w:rFonts w:eastAsia="宋体"/>
                <w:sz w:val="21"/>
                <w:szCs w:val="21"/>
              </w:rPr>
            </w:pPr>
            <w:r>
              <w:rPr>
                <w:rFonts w:hint="eastAsia" w:hAnsi="宋体" w:eastAsia="宋体"/>
                <w:sz w:val="21"/>
                <w:szCs w:val="21"/>
              </w:rPr>
              <w:t>3.02×10</w:t>
            </w:r>
            <w:r>
              <w:rPr>
                <w:rFonts w:hint="eastAsia" w:hAnsi="宋体" w:eastAsia="宋体"/>
                <w:sz w:val="21"/>
                <w:szCs w:val="21"/>
                <w:vertAlign w:val="superscript"/>
              </w:rPr>
              <w:t>3</w:t>
            </w:r>
          </w:p>
        </w:tc>
        <w:tc>
          <w:tcPr>
            <w:tcW w:w="1110" w:type="dxa"/>
            <w:vAlign w:val="center"/>
          </w:tcPr>
          <w:p>
            <w:pPr>
              <w:adjustRightInd/>
              <w:snapToGrid/>
              <w:spacing w:line="240" w:lineRule="auto"/>
              <w:jc w:val="center"/>
              <w:rPr>
                <w:rFonts w:eastAsia="宋体"/>
                <w:sz w:val="21"/>
                <w:szCs w:val="21"/>
              </w:rPr>
            </w:pPr>
            <w:r>
              <w:rPr>
                <w:rFonts w:hint="eastAsia" w:hAnsi="宋体" w:eastAsia="宋体"/>
                <w:sz w:val="21"/>
                <w:szCs w:val="21"/>
              </w:rPr>
              <w:t>3.11×10</w:t>
            </w:r>
            <w:r>
              <w:rPr>
                <w:rFonts w:hint="eastAsia" w:hAnsi="宋体" w:eastAsia="宋体"/>
                <w:sz w:val="21"/>
                <w:szCs w:val="21"/>
                <w:vertAlign w:val="superscript"/>
              </w:rPr>
              <w:t>3</w:t>
            </w:r>
          </w:p>
        </w:tc>
        <w:tc>
          <w:tcPr>
            <w:tcW w:w="1109" w:type="dxa"/>
            <w:vAlign w:val="center"/>
          </w:tcPr>
          <w:p>
            <w:pPr>
              <w:adjustRightInd/>
              <w:snapToGrid/>
              <w:spacing w:line="240" w:lineRule="auto"/>
              <w:jc w:val="center"/>
              <w:rPr>
                <w:rFonts w:eastAsia="宋体"/>
                <w:sz w:val="21"/>
                <w:szCs w:val="21"/>
              </w:rPr>
            </w:pPr>
            <w:r>
              <w:rPr>
                <w:rFonts w:hint="eastAsia" w:hAnsi="宋体" w:eastAsia="宋体"/>
                <w:sz w:val="21"/>
                <w:szCs w:val="21"/>
              </w:rPr>
              <w:t>2.59×10</w:t>
            </w:r>
            <w:r>
              <w:rPr>
                <w:rFonts w:hint="eastAsia" w:hAnsi="宋体" w:eastAsia="宋体"/>
                <w:sz w:val="21"/>
                <w:szCs w:val="21"/>
                <w:vertAlign w:val="superscript"/>
              </w:rPr>
              <w:t>3</w:t>
            </w:r>
          </w:p>
        </w:tc>
        <w:tc>
          <w:tcPr>
            <w:tcW w:w="1110" w:type="dxa"/>
            <w:vAlign w:val="center"/>
          </w:tcPr>
          <w:p>
            <w:pPr>
              <w:adjustRightInd/>
              <w:snapToGrid/>
              <w:spacing w:line="240" w:lineRule="auto"/>
              <w:jc w:val="center"/>
              <w:rPr>
                <w:rFonts w:eastAsia="宋体"/>
                <w:sz w:val="21"/>
                <w:szCs w:val="21"/>
              </w:rPr>
            </w:pPr>
            <w:r>
              <w:rPr>
                <w:rFonts w:hint="eastAsia" w:hAnsi="宋体" w:eastAsia="宋体"/>
                <w:sz w:val="21"/>
                <w:szCs w:val="21"/>
              </w:rPr>
              <w:t>2.91×10</w:t>
            </w:r>
            <w:r>
              <w:rPr>
                <w:rFonts w:hint="eastAsia" w:hAnsi="宋体" w:eastAsia="宋体"/>
                <w:sz w:val="21"/>
                <w:szCs w:val="21"/>
                <w:vertAlign w:val="superscript"/>
              </w:rPr>
              <w:t>3</w:t>
            </w:r>
          </w:p>
        </w:tc>
        <w:tc>
          <w:tcPr>
            <w:tcW w:w="1150" w:type="dxa"/>
            <w:vAlign w:val="center"/>
          </w:tcPr>
          <w:p>
            <w:pPr>
              <w:adjustRightInd/>
              <w:snapToGrid/>
              <w:spacing w:line="240" w:lineRule="auto"/>
              <w:jc w:val="center"/>
              <w:rPr>
                <w:rFonts w:eastAsia="宋体"/>
                <w:sz w:val="21"/>
                <w:szCs w:val="21"/>
              </w:rPr>
            </w:pPr>
            <w:r>
              <w:rPr>
                <w:rFonts w:hint="eastAsia" w:eastAsia="宋体"/>
                <w:sz w:val="21"/>
                <w:szCs w:val="21"/>
              </w:rPr>
              <w:t>8.95</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8.81</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7.81</w:t>
            </w:r>
          </w:p>
        </w:tc>
        <w:tc>
          <w:tcPr>
            <w:tcW w:w="1143" w:type="dxa"/>
            <w:vAlign w:val="center"/>
          </w:tcPr>
          <w:p>
            <w:pPr>
              <w:adjustRightInd/>
              <w:snapToGrid/>
              <w:spacing w:line="240" w:lineRule="auto"/>
              <w:jc w:val="center"/>
              <w:rPr>
                <w:rFonts w:eastAsia="宋体"/>
                <w:sz w:val="21"/>
                <w:szCs w:val="21"/>
              </w:rPr>
            </w:pPr>
            <w:r>
              <w:rPr>
                <w:rFonts w:hint="eastAsia" w:eastAsia="宋体"/>
                <w:sz w:val="21"/>
                <w:szCs w:val="21"/>
              </w:rPr>
              <w:t>8.53</w:t>
            </w:r>
          </w:p>
        </w:tc>
        <w:tc>
          <w:tcPr>
            <w:tcW w:w="1235"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1054"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900" w:type="dxa"/>
            <w:vMerge w:val="restart"/>
            <w:vAlign w:val="center"/>
          </w:tcPr>
          <w:p>
            <w:pPr>
              <w:adjustRightInd/>
              <w:snapToGrid/>
              <w:spacing w:line="240" w:lineRule="auto"/>
              <w:jc w:val="center"/>
              <w:rPr>
                <w:rFonts w:eastAsia="宋体"/>
                <w:sz w:val="21"/>
                <w:szCs w:val="21"/>
              </w:rPr>
            </w:pPr>
            <w:r>
              <w:rPr>
                <w:rFonts w:hint="eastAsia" w:hAnsi="宋体" w:eastAsia="宋体"/>
                <w:sz w:val="22"/>
              </w:rPr>
              <w:t>Φ=0.2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continue"/>
            <w:vAlign w:val="center"/>
          </w:tcPr>
          <w:p>
            <w:pPr>
              <w:adjustRightInd/>
              <w:snapToGrid/>
              <w:spacing w:line="240" w:lineRule="auto"/>
              <w:jc w:val="center"/>
              <w:rPr>
                <w:rFonts w:eastAsia="宋体"/>
                <w:sz w:val="21"/>
                <w:szCs w:val="21"/>
              </w:rPr>
            </w:pPr>
          </w:p>
        </w:tc>
        <w:tc>
          <w:tcPr>
            <w:tcW w:w="1201" w:type="dxa"/>
            <w:vAlign w:val="center"/>
          </w:tcPr>
          <w:p>
            <w:pPr>
              <w:widowControl/>
              <w:adjustRightInd/>
              <w:snapToGrid/>
              <w:spacing w:line="240" w:lineRule="auto"/>
              <w:jc w:val="center"/>
              <w:rPr>
                <w:rFonts w:eastAsia="宋体"/>
                <w:sz w:val="21"/>
                <w:szCs w:val="21"/>
              </w:rPr>
            </w:pPr>
            <w:r>
              <w:rPr>
                <w:rFonts w:hint="eastAsia" w:eastAsia="宋体"/>
                <w:sz w:val="21"/>
                <w:szCs w:val="21"/>
              </w:rPr>
              <w:t>2017.12.22</w:t>
            </w:r>
          </w:p>
        </w:tc>
        <w:tc>
          <w:tcPr>
            <w:tcW w:w="1109" w:type="dxa"/>
            <w:vAlign w:val="center"/>
          </w:tcPr>
          <w:p>
            <w:pPr>
              <w:adjustRightInd/>
              <w:snapToGrid/>
              <w:spacing w:line="240" w:lineRule="auto"/>
              <w:jc w:val="center"/>
              <w:rPr>
                <w:rFonts w:eastAsia="宋体"/>
                <w:sz w:val="21"/>
                <w:szCs w:val="21"/>
              </w:rPr>
            </w:pPr>
            <w:r>
              <w:rPr>
                <w:rFonts w:hint="eastAsia" w:hAnsi="宋体" w:eastAsia="宋体"/>
                <w:sz w:val="21"/>
                <w:szCs w:val="21"/>
              </w:rPr>
              <w:t>2.86×10</w:t>
            </w:r>
            <w:r>
              <w:rPr>
                <w:rFonts w:hint="eastAsia" w:hAnsi="宋体" w:eastAsia="宋体"/>
                <w:sz w:val="21"/>
                <w:szCs w:val="21"/>
                <w:vertAlign w:val="superscript"/>
              </w:rPr>
              <w:t>3</w:t>
            </w:r>
          </w:p>
        </w:tc>
        <w:tc>
          <w:tcPr>
            <w:tcW w:w="1110" w:type="dxa"/>
            <w:vAlign w:val="center"/>
          </w:tcPr>
          <w:p>
            <w:pPr>
              <w:adjustRightInd/>
              <w:snapToGrid/>
              <w:spacing w:line="240" w:lineRule="auto"/>
              <w:jc w:val="center"/>
              <w:rPr>
                <w:rFonts w:eastAsia="宋体"/>
                <w:sz w:val="21"/>
                <w:szCs w:val="21"/>
              </w:rPr>
            </w:pPr>
            <w:r>
              <w:rPr>
                <w:rFonts w:hint="eastAsia" w:hAnsi="宋体" w:eastAsia="宋体"/>
                <w:sz w:val="21"/>
                <w:szCs w:val="21"/>
              </w:rPr>
              <w:t>2.68×10</w:t>
            </w:r>
            <w:r>
              <w:rPr>
                <w:rFonts w:hint="eastAsia" w:hAnsi="宋体" w:eastAsia="宋体"/>
                <w:sz w:val="21"/>
                <w:szCs w:val="21"/>
                <w:vertAlign w:val="superscript"/>
              </w:rPr>
              <w:t>3</w:t>
            </w:r>
          </w:p>
        </w:tc>
        <w:tc>
          <w:tcPr>
            <w:tcW w:w="1109" w:type="dxa"/>
            <w:vAlign w:val="center"/>
          </w:tcPr>
          <w:p>
            <w:pPr>
              <w:adjustRightInd/>
              <w:snapToGrid/>
              <w:spacing w:line="240" w:lineRule="auto"/>
              <w:jc w:val="center"/>
              <w:rPr>
                <w:rFonts w:eastAsia="宋体"/>
                <w:sz w:val="21"/>
                <w:szCs w:val="21"/>
              </w:rPr>
            </w:pPr>
            <w:r>
              <w:rPr>
                <w:rFonts w:hint="eastAsia" w:hAnsi="宋体" w:eastAsia="宋体"/>
                <w:sz w:val="21"/>
                <w:szCs w:val="21"/>
              </w:rPr>
              <w:t>3.04×10</w:t>
            </w:r>
            <w:r>
              <w:rPr>
                <w:rFonts w:hint="eastAsia" w:hAnsi="宋体" w:eastAsia="宋体"/>
                <w:sz w:val="21"/>
                <w:szCs w:val="21"/>
                <w:vertAlign w:val="superscript"/>
              </w:rPr>
              <w:t>3</w:t>
            </w:r>
          </w:p>
        </w:tc>
        <w:tc>
          <w:tcPr>
            <w:tcW w:w="1110" w:type="dxa"/>
            <w:vAlign w:val="center"/>
          </w:tcPr>
          <w:p>
            <w:pPr>
              <w:adjustRightInd/>
              <w:snapToGrid/>
              <w:spacing w:line="240" w:lineRule="auto"/>
              <w:jc w:val="center"/>
              <w:rPr>
                <w:rFonts w:eastAsia="宋体"/>
                <w:sz w:val="21"/>
                <w:szCs w:val="21"/>
              </w:rPr>
            </w:pPr>
            <w:r>
              <w:rPr>
                <w:rFonts w:hint="eastAsia" w:hAnsi="宋体" w:eastAsia="宋体"/>
                <w:sz w:val="21"/>
                <w:szCs w:val="21"/>
              </w:rPr>
              <w:t>2.86×10</w:t>
            </w:r>
            <w:r>
              <w:rPr>
                <w:rFonts w:hint="eastAsia" w:hAnsi="宋体" w:eastAsia="宋体"/>
                <w:sz w:val="21"/>
                <w:szCs w:val="21"/>
                <w:vertAlign w:val="superscript"/>
              </w:rPr>
              <w:t>3</w:t>
            </w:r>
          </w:p>
        </w:tc>
        <w:tc>
          <w:tcPr>
            <w:tcW w:w="1150" w:type="dxa"/>
            <w:vAlign w:val="center"/>
          </w:tcPr>
          <w:p>
            <w:pPr>
              <w:adjustRightInd/>
              <w:snapToGrid/>
              <w:spacing w:line="240" w:lineRule="auto"/>
              <w:jc w:val="center"/>
              <w:rPr>
                <w:rFonts w:eastAsia="宋体"/>
                <w:sz w:val="21"/>
                <w:szCs w:val="21"/>
              </w:rPr>
            </w:pPr>
            <w:r>
              <w:rPr>
                <w:rFonts w:hint="eastAsia" w:eastAsia="宋体"/>
                <w:sz w:val="21"/>
                <w:szCs w:val="21"/>
              </w:rPr>
              <w:t>8.59</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7.84</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8.38</w:t>
            </w:r>
          </w:p>
        </w:tc>
        <w:tc>
          <w:tcPr>
            <w:tcW w:w="1143" w:type="dxa"/>
            <w:vAlign w:val="center"/>
          </w:tcPr>
          <w:p>
            <w:pPr>
              <w:adjustRightInd/>
              <w:snapToGrid/>
              <w:spacing w:line="240" w:lineRule="auto"/>
              <w:jc w:val="center"/>
              <w:rPr>
                <w:rFonts w:eastAsia="宋体"/>
                <w:sz w:val="21"/>
                <w:szCs w:val="21"/>
              </w:rPr>
            </w:pPr>
            <w:r>
              <w:rPr>
                <w:rFonts w:hint="eastAsia" w:eastAsia="宋体"/>
                <w:sz w:val="21"/>
                <w:szCs w:val="21"/>
              </w:rPr>
              <w:t>8.27</w:t>
            </w:r>
          </w:p>
        </w:tc>
        <w:tc>
          <w:tcPr>
            <w:tcW w:w="1235" w:type="dxa"/>
            <w:vMerge w:val="continue"/>
            <w:vAlign w:val="center"/>
          </w:tcPr>
          <w:p>
            <w:pPr>
              <w:adjustRightInd/>
              <w:snapToGrid/>
              <w:spacing w:line="240" w:lineRule="auto"/>
              <w:jc w:val="center"/>
              <w:rPr>
                <w:rFonts w:eastAsia="宋体"/>
                <w:sz w:val="21"/>
                <w:szCs w:val="21"/>
              </w:rPr>
            </w:pPr>
          </w:p>
        </w:tc>
        <w:tc>
          <w:tcPr>
            <w:tcW w:w="1054" w:type="dxa"/>
            <w:vMerge w:val="continue"/>
            <w:vAlign w:val="center"/>
          </w:tcPr>
          <w:p>
            <w:pPr>
              <w:adjustRightInd/>
              <w:snapToGrid/>
              <w:spacing w:line="240" w:lineRule="auto"/>
              <w:jc w:val="center"/>
              <w:rPr>
                <w:rFonts w:eastAsia="宋体"/>
                <w:sz w:val="21"/>
                <w:szCs w:val="21"/>
              </w:rPr>
            </w:pP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restart"/>
            <w:vAlign w:val="center"/>
          </w:tcPr>
          <w:p>
            <w:pPr>
              <w:adjustRightInd/>
              <w:snapToGrid/>
              <w:spacing w:line="240" w:lineRule="auto"/>
              <w:jc w:val="center"/>
              <w:rPr>
                <w:rFonts w:eastAsia="宋体"/>
                <w:sz w:val="21"/>
                <w:szCs w:val="21"/>
              </w:rPr>
            </w:pPr>
            <w:r>
              <w:rPr>
                <w:rFonts w:hint="eastAsia" w:eastAsia="宋体"/>
                <w:sz w:val="21"/>
                <w:szCs w:val="21"/>
              </w:rPr>
              <w:t>标干流量（</w:t>
            </w:r>
            <w:r>
              <w:rPr>
                <w:rFonts w:eastAsia="宋体"/>
                <w:sz w:val="21"/>
                <w:szCs w:val="21"/>
              </w:rPr>
              <w:t>m</w:t>
            </w:r>
            <w:r>
              <w:rPr>
                <w:rFonts w:eastAsia="宋体"/>
                <w:sz w:val="21"/>
                <w:szCs w:val="21"/>
                <w:vertAlign w:val="superscript"/>
              </w:rPr>
              <w:t>3</w:t>
            </w:r>
            <w:r>
              <w:rPr>
                <w:rFonts w:eastAsia="宋体"/>
                <w:sz w:val="21"/>
                <w:szCs w:val="21"/>
              </w:rPr>
              <w:t>/h</w:t>
            </w:r>
            <w:r>
              <w:rPr>
                <w:rFonts w:hint="eastAsia" w:eastAsia="宋体"/>
                <w:sz w:val="21"/>
                <w:szCs w:val="21"/>
              </w:rPr>
              <w:t>）</w:t>
            </w:r>
          </w:p>
        </w:tc>
        <w:tc>
          <w:tcPr>
            <w:tcW w:w="1201" w:type="dxa"/>
            <w:vAlign w:val="center"/>
          </w:tcPr>
          <w:p>
            <w:pPr>
              <w:widowControl/>
              <w:adjustRightInd/>
              <w:snapToGrid/>
              <w:spacing w:line="240" w:lineRule="auto"/>
              <w:jc w:val="center"/>
              <w:rPr>
                <w:rFonts w:eastAsia="宋体"/>
                <w:sz w:val="21"/>
                <w:szCs w:val="21"/>
              </w:rPr>
            </w:pPr>
            <w:r>
              <w:rPr>
                <w:rFonts w:eastAsia="宋体"/>
                <w:sz w:val="21"/>
                <w:szCs w:val="21"/>
              </w:rPr>
              <w:t>2017.12.21</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2964</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2833</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3017</w:t>
            </w:r>
          </w:p>
        </w:tc>
        <w:tc>
          <w:tcPr>
            <w:tcW w:w="1110"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2938</w:t>
            </w:r>
          </w:p>
        </w:tc>
        <w:tc>
          <w:tcPr>
            <w:tcW w:w="1150"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43"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235"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1054"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continue"/>
          </w:tcPr>
          <w:p>
            <w:pPr>
              <w:adjustRightInd/>
              <w:snapToGrid/>
              <w:spacing w:line="240" w:lineRule="auto"/>
              <w:jc w:val="center"/>
              <w:rPr>
                <w:rFonts w:eastAsia="宋体"/>
                <w:sz w:val="21"/>
                <w:szCs w:val="21"/>
              </w:rPr>
            </w:pPr>
          </w:p>
        </w:tc>
        <w:tc>
          <w:tcPr>
            <w:tcW w:w="1201" w:type="dxa"/>
            <w:vAlign w:val="center"/>
          </w:tcPr>
          <w:p>
            <w:pPr>
              <w:widowControl/>
              <w:adjustRightInd/>
              <w:snapToGrid/>
              <w:spacing w:line="240" w:lineRule="auto"/>
              <w:jc w:val="center"/>
              <w:rPr>
                <w:rFonts w:eastAsia="宋体"/>
                <w:sz w:val="21"/>
                <w:szCs w:val="21"/>
              </w:rPr>
            </w:pPr>
            <w:r>
              <w:rPr>
                <w:rFonts w:hint="eastAsia" w:eastAsia="宋体"/>
                <w:sz w:val="21"/>
                <w:szCs w:val="21"/>
              </w:rPr>
              <w:t>2017.12.22</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3005</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2926</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2758</w:t>
            </w:r>
          </w:p>
        </w:tc>
        <w:tc>
          <w:tcPr>
            <w:tcW w:w="1110"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2896</w:t>
            </w:r>
          </w:p>
        </w:tc>
        <w:tc>
          <w:tcPr>
            <w:tcW w:w="1150"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43"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235" w:type="dxa"/>
            <w:vMerge w:val="continue"/>
            <w:vAlign w:val="center"/>
          </w:tcPr>
          <w:p>
            <w:pPr>
              <w:adjustRightInd/>
              <w:snapToGrid/>
              <w:spacing w:line="240" w:lineRule="auto"/>
              <w:jc w:val="center"/>
              <w:rPr>
                <w:rFonts w:eastAsia="宋体"/>
                <w:sz w:val="21"/>
                <w:szCs w:val="21"/>
              </w:rPr>
            </w:pPr>
          </w:p>
        </w:tc>
        <w:tc>
          <w:tcPr>
            <w:tcW w:w="1054" w:type="dxa"/>
            <w:vMerge w:val="continue"/>
            <w:vAlign w:val="center"/>
          </w:tcPr>
          <w:p>
            <w:pPr>
              <w:adjustRightInd/>
              <w:snapToGrid/>
              <w:spacing w:line="240" w:lineRule="auto"/>
              <w:jc w:val="center"/>
              <w:rPr>
                <w:rFonts w:eastAsia="宋体"/>
                <w:sz w:val="21"/>
                <w:szCs w:val="21"/>
              </w:rPr>
            </w:pP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restart"/>
            <w:vAlign w:val="center"/>
          </w:tcPr>
          <w:p>
            <w:pPr>
              <w:adjustRightInd/>
              <w:snapToGrid/>
              <w:spacing w:line="240" w:lineRule="auto"/>
              <w:jc w:val="center"/>
              <w:rPr>
                <w:rFonts w:eastAsia="宋体"/>
                <w:sz w:val="21"/>
                <w:szCs w:val="21"/>
              </w:rPr>
            </w:pPr>
            <w:r>
              <w:rPr>
                <w:rFonts w:hint="eastAsia" w:eastAsia="宋体"/>
                <w:kern w:val="0"/>
                <w:sz w:val="21"/>
                <w:szCs w:val="21"/>
              </w:rPr>
              <w:t>2#切割工序废气排气筒（北</w:t>
            </w:r>
            <w:r>
              <w:rPr>
                <w:rFonts w:hint="eastAsia" w:eastAsia="宋体"/>
                <w:sz w:val="21"/>
                <w:szCs w:val="21"/>
              </w:rPr>
              <w:t>处理前）</w:t>
            </w:r>
          </w:p>
        </w:tc>
        <w:tc>
          <w:tcPr>
            <w:tcW w:w="1034" w:type="dxa"/>
            <w:vMerge w:val="restart"/>
            <w:vAlign w:val="center"/>
          </w:tcPr>
          <w:p>
            <w:pPr>
              <w:adjustRightInd/>
              <w:snapToGrid/>
              <w:spacing w:line="240" w:lineRule="auto"/>
              <w:jc w:val="center"/>
              <w:rPr>
                <w:rFonts w:eastAsia="宋体"/>
                <w:sz w:val="21"/>
                <w:szCs w:val="21"/>
              </w:rPr>
            </w:pPr>
            <w:r>
              <w:rPr>
                <w:rFonts w:hint="eastAsia" w:eastAsia="宋体"/>
                <w:sz w:val="21"/>
                <w:szCs w:val="21"/>
              </w:rPr>
              <w:t>颗粒物</w:t>
            </w:r>
          </w:p>
        </w:tc>
        <w:tc>
          <w:tcPr>
            <w:tcW w:w="1201" w:type="dxa"/>
            <w:vAlign w:val="center"/>
          </w:tcPr>
          <w:p>
            <w:pPr>
              <w:widowControl/>
              <w:adjustRightInd/>
              <w:snapToGrid/>
              <w:spacing w:line="240" w:lineRule="auto"/>
              <w:jc w:val="center"/>
              <w:rPr>
                <w:rFonts w:eastAsia="宋体"/>
                <w:sz w:val="21"/>
                <w:szCs w:val="21"/>
              </w:rPr>
            </w:pPr>
            <w:r>
              <w:rPr>
                <w:rFonts w:eastAsia="宋体"/>
                <w:sz w:val="21"/>
                <w:szCs w:val="21"/>
              </w:rPr>
              <w:t>2017.12.21</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2.63</w:t>
            </w:r>
            <w:r>
              <w:rPr>
                <w:rFonts w:hint="eastAsia" w:hAnsi="宋体" w:eastAsia="宋体"/>
                <w:sz w:val="21"/>
                <w:szCs w:val="21"/>
              </w:rPr>
              <w:t>×10</w:t>
            </w:r>
            <w:r>
              <w:rPr>
                <w:rFonts w:hint="eastAsia" w:hAnsi="宋体" w:eastAsia="宋体"/>
                <w:sz w:val="21"/>
                <w:szCs w:val="21"/>
                <w:vertAlign w:val="superscript"/>
              </w:rPr>
              <w:t>3</w:t>
            </w:r>
          </w:p>
        </w:tc>
        <w:tc>
          <w:tcPr>
            <w:tcW w:w="1110" w:type="dxa"/>
            <w:vAlign w:val="center"/>
          </w:tcPr>
          <w:p>
            <w:pPr>
              <w:adjustRightInd/>
              <w:snapToGrid/>
              <w:spacing w:line="240" w:lineRule="auto"/>
              <w:jc w:val="center"/>
              <w:rPr>
                <w:rFonts w:eastAsia="宋体"/>
                <w:sz w:val="21"/>
                <w:szCs w:val="21"/>
              </w:rPr>
            </w:pPr>
            <w:r>
              <w:rPr>
                <w:rFonts w:hint="eastAsia" w:hAnsi="宋体" w:eastAsia="宋体"/>
                <w:sz w:val="21"/>
                <w:szCs w:val="21"/>
              </w:rPr>
              <w:t>2.84×10</w:t>
            </w:r>
            <w:r>
              <w:rPr>
                <w:rFonts w:hint="eastAsia" w:hAnsi="宋体" w:eastAsia="宋体"/>
                <w:sz w:val="21"/>
                <w:szCs w:val="21"/>
                <w:vertAlign w:val="superscript"/>
              </w:rPr>
              <w:t>3</w:t>
            </w:r>
          </w:p>
        </w:tc>
        <w:tc>
          <w:tcPr>
            <w:tcW w:w="1109" w:type="dxa"/>
            <w:vAlign w:val="center"/>
          </w:tcPr>
          <w:p>
            <w:pPr>
              <w:adjustRightInd/>
              <w:snapToGrid/>
              <w:spacing w:line="240" w:lineRule="auto"/>
              <w:jc w:val="center"/>
              <w:rPr>
                <w:rFonts w:eastAsia="宋体"/>
                <w:sz w:val="21"/>
                <w:szCs w:val="21"/>
              </w:rPr>
            </w:pPr>
            <w:r>
              <w:rPr>
                <w:rFonts w:hint="eastAsia" w:hAnsi="宋体" w:eastAsia="宋体"/>
                <w:sz w:val="21"/>
                <w:szCs w:val="21"/>
              </w:rPr>
              <w:t>2.72×10</w:t>
            </w:r>
            <w:r>
              <w:rPr>
                <w:rFonts w:hint="eastAsia" w:hAnsi="宋体" w:eastAsia="宋体"/>
                <w:sz w:val="21"/>
                <w:szCs w:val="21"/>
                <w:vertAlign w:val="superscript"/>
              </w:rPr>
              <w:t>3</w:t>
            </w:r>
          </w:p>
        </w:tc>
        <w:tc>
          <w:tcPr>
            <w:tcW w:w="1110" w:type="dxa"/>
            <w:vAlign w:val="center"/>
          </w:tcPr>
          <w:p>
            <w:pPr>
              <w:adjustRightInd/>
              <w:snapToGrid/>
              <w:spacing w:line="240" w:lineRule="auto"/>
              <w:jc w:val="center"/>
              <w:rPr>
                <w:rFonts w:eastAsia="宋体"/>
                <w:sz w:val="21"/>
                <w:szCs w:val="21"/>
              </w:rPr>
            </w:pPr>
            <w:r>
              <w:rPr>
                <w:rFonts w:hint="eastAsia" w:hAnsi="宋体" w:eastAsia="宋体"/>
                <w:sz w:val="21"/>
                <w:szCs w:val="21"/>
              </w:rPr>
              <w:t>2.73×10</w:t>
            </w:r>
            <w:r>
              <w:rPr>
                <w:rFonts w:hint="eastAsia" w:hAnsi="宋体" w:eastAsia="宋体"/>
                <w:sz w:val="21"/>
                <w:szCs w:val="21"/>
                <w:vertAlign w:val="superscript"/>
              </w:rPr>
              <w:t>3</w:t>
            </w:r>
          </w:p>
        </w:tc>
        <w:tc>
          <w:tcPr>
            <w:tcW w:w="1150" w:type="dxa"/>
            <w:vAlign w:val="center"/>
          </w:tcPr>
          <w:p>
            <w:pPr>
              <w:adjustRightInd/>
              <w:snapToGrid/>
              <w:spacing w:line="240" w:lineRule="auto"/>
              <w:jc w:val="center"/>
              <w:rPr>
                <w:rFonts w:eastAsia="宋体"/>
                <w:sz w:val="21"/>
                <w:szCs w:val="21"/>
              </w:rPr>
            </w:pPr>
            <w:r>
              <w:rPr>
                <w:rFonts w:hint="eastAsia" w:eastAsia="宋体"/>
                <w:sz w:val="21"/>
                <w:szCs w:val="21"/>
              </w:rPr>
              <w:t>11.1</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11.3</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11.2</w:t>
            </w:r>
          </w:p>
        </w:tc>
        <w:tc>
          <w:tcPr>
            <w:tcW w:w="1143" w:type="dxa"/>
            <w:vAlign w:val="center"/>
          </w:tcPr>
          <w:p>
            <w:pPr>
              <w:adjustRightInd/>
              <w:snapToGrid/>
              <w:spacing w:line="240" w:lineRule="auto"/>
              <w:jc w:val="center"/>
              <w:rPr>
                <w:rFonts w:eastAsia="宋体"/>
                <w:sz w:val="21"/>
                <w:szCs w:val="21"/>
              </w:rPr>
            </w:pPr>
            <w:r>
              <w:rPr>
                <w:rFonts w:hint="eastAsia" w:eastAsia="宋体"/>
                <w:sz w:val="21"/>
                <w:szCs w:val="21"/>
              </w:rPr>
              <w:t>11.2</w:t>
            </w:r>
          </w:p>
        </w:tc>
        <w:tc>
          <w:tcPr>
            <w:tcW w:w="1235"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1054"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900" w:type="dxa"/>
            <w:vMerge w:val="restart"/>
            <w:vAlign w:val="center"/>
          </w:tcPr>
          <w:p>
            <w:pPr>
              <w:adjustRightInd/>
              <w:snapToGrid/>
              <w:spacing w:line="240" w:lineRule="auto"/>
              <w:jc w:val="center"/>
              <w:rPr>
                <w:rFonts w:eastAsia="宋体"/>
                <w:sz w:val="21"/>
                <w:szCs w:val="21"/>
              </w:rPr>
            </w:pPr>
            <w:r>
              <w:rPr>
                <w:rFonts w:hint="eastAsia" w:hAnsi="宋体" w:eastAsia="宋体"/>
                <w:sz w:val="22"/>
              </w:rPr>
              <w:t>Φ=0.2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continue"/>
            <w:vAlign w:val="center"/>
          </w:tcPr>
          <w:p>
            <w:pPr>
              <w:adjustRightInd/>
              <w:snapToGrid/>
              <w:spacing w:line="240" w:lineRule="auto"/>
              <w:jc w:val="center"/>
              <w:rPr>
                <w:rFonts w:eastAsia="宋体"/>
                <w:sz w:val="21"/>
                <w:szCs w:val="21"/>
              </w:rPr>
            </w:pPr>
          </w:p>
        </w:tc>
        <w:tc>
          <w:tcPr>
            <w:tcW w:w="1201" w:type="dxa"/>
            <w:vAlign w:val="center"/>
          </w:tcPr>
          <w:p>
            <w:pPr>
              <w:widowControl/>
              <w:adjustRightInd/>
              <w:snapToGrid/>
              <w:spacing w:line="240" w:lineRule="auto"/>
              <w:jc w:val="center"/>
              <w:rPr>
                <w:rFonts w:eastAsia="宋体"/>
                <w:sz w:val="21"/>
                <w:szCs w:val="21"/>
              </w:rPr>
            </w:pPr>
            <w:r>
              <w:rPr>
                <w:rFonts w:hint="eastAsia" w:eastAsia="宋体"/>
                <w:sz w:val="21"/>
                <w:szCs w:val="21"/>
              </w:rPr>
              <w:t>2017.12.22</w:t>
            </w:r>
          </w:p>
        </w:tc>
        <w:tc>
          <w:tcPr>
            <w:tcW w:w="1109" w:type="dxa"/>
            <w:vAlign w:val="center"/>
          </w:tcPr>
          <w:p>
            <w:pPr>
              <w:adjustRightInd/>
              <w:snapToGrid/>
              <w:spacing w:line="240" w:lineRule="auto"/>
              <w:jc w:val="center"/>
              <w:rPr>
                <w:rFonts w:eastAsia="宋体"/>
                <w:sz w:val="21"/>
                <w:szCs w:val="21"/>
              </w:rPr>
            </w:pPr>
            <w:r>
              <w:rPr>
                <w:rFonts w:hint="eastAsia" w:hAnsi="宋体" w:eastAsia="宋体"/>
                <w:sz w:val="21"/>
                <w:szCs w:val="21"/>
              </w:rPr>
              <w:t>2.75×10</w:t>
            </w:r>
            <w:r>
              <w:rPr>
                <w:rFonts w:hint="eastAsia" w:hAnsi="宋体" w:eastAsia="宋体"/>
                <w:sz w:val="21"/>
                <w:szCs w:val="21"/>
                <w:vertAlign w:val="superscript"/>
              </w:rPr>
              <w:t>3</w:t>
            </w:r>
          </w:p>
        </w:tc>
        <w:tc>
          <w:tcPr>
            <w:tcW w:w="1110" w:type="dxa"/>
            <w:vAlign w:val="center"/>
          </w:tcPr>
          <w:p>
            <w:pPr>
              <w:adjustRightInd/>
              <w:snapToGrid/>
              <w:spacing w:line="240" w:lineRule="auto"/>
              <w:jc w:val="center"/>
              <w:rPr>
                <w:rFonts w:eastAsia="宋体"/>
                <w:sz w:val="21"/>
                <w:szCs w:val="21"/>
              </w:rPr>
            </w:pPr>
            <w:r>
              <w:rPr>
                <w:rFonts w:hint="eastAsia" w:hAnsi="宋体" w:eastAsia="宋体"/>
                <w:sz w:val="21"/>
                <w:szCs w:val="21"/>
              </w:rPr>
              <w:t>3.01×10</w:t>
            </w:r>
            <w:r>
              <w:rPr>
                <w:rFonts w:hint="eastAsia" w:hAnsi="宋体" w:eastAsia="宋体"/>
                <w:sz w:val="21"/>
                <w:szCs w:val="21"/>
                <w:vertAlign w:val="superscript"/>
              </w:rPr>
              <w:t>3</w:t>
            </w:r>
          </w:p>
        </w:tc>
        <w:tc>
          <w:tcPr>
            <w:tcW w:w="1109" w:type="dxa"/>
            <w:vAlign w:val="center"/>
          </w:tcPr>
          <w:p>
            <w:pPr>
              <w:adjustRightInd/>
              <w:snapToGrid/>
              <w:spacing w:line="240" w:lineRule="auto"/>
              <w:jc w:val="center"/>
              <w:rPr>
                <w:rFonts w:eastAsia="宋体"/>
                <w:sz w:val="21"/>
                <w:szCs w:val="21"/>
              </w:rPr>
            </w:pPr>
            <w:r>
              <w:rPr>
                <w:rFonts w:hint="eastAsia" w:hAnsi="宋体" w:eastAsia="宋体"/>
                <w:sz w:val="21"/>
                <w:szCs w:val="21"/>
              </w:rPr>
              <w:t>2.86×10</w:t>
            </w:r>
            <w:r>
              <w:rPr>
                <w:rFonts w:hint="eastAsia" w:hAnsi="宋体" w:eastAsia="宋体"/>
                <w:sz w:val="21"/>
                <w:szCs w:val="21"/>
                <w:vertAlign w:val="superscript"/>
              </w:rPr>
              <w:t>3</w:t>
            </w:r>
          </w:p>
        </w:tc>
        <w:tc>
          <w:tcPr>
            <w:tcW w:w="1110" w:type="dxa"/>
            <w:vAlign w:val="center"/>
          </w:tcPr>
          <w:p>
            <w:pPr>
              <w:adjustRightInd/>
              <w:snapToGrid/>
              <w:spacing w:line="240" w:lineRule="auto"/>
              <w:jc w:val="center"/>
              <w:rPr>
                <w:rFonts w:eastAsia="宋体"/>
                <w:sz w:val="21"/>
                <w:szCs w:val="21"/>
              </w:rPr>
            </w:pPr>
            <w:r>
              <w:rPr>
                <w:rFonts w:hint="eastAsia" w:hAnsi="宋体" w:eastAsia="宋体"/>
                <w:sz w:val="21"/>
                <w:szCs w:val="21"/>
              </w:rPr>
              <w:t>2.87×10</w:t>
            </w:r>
            <w:r>
              <w:rPr>
                <w:rFonts w:hint="eastAsia" w:hAnsi="宋体" w:eastAsia="宋体"/>
                <w:sz w:val="21"/>
                <w:szCs w:val="21"/>
                <w:vertAlign w:val="superscript"/>
              </w:rPr>
              <w:t>3</w:t>
            </w:r>
          </w:p>
        </w:tc>
        <w:tc>
          <w:tcPr>
            <w:tcW w:w="1150" w:type="dxa"/>
            <w:vAlign w:val="center"/>
          </w:tcPr>
          <w:p>
            <w:pPr>
              <w:adjustRightInd/>
              <w:snapToGrid/>
              <w:spacing w:line="240" w:lineRule="auto"/>
              <w:jc w:val="center"/>
              <w:rPr>
                <w:rFonts w:eastAsia="宋体"/>
                <w:sz w:val="21"/>
                <w:szCs w:val="21"/>
              </w:rPr>
            </w:pPr>
            <w:r>
              <w:rPr>
                <w:rFonts w:hint="eastAsia" w:eastAsia="宋体"/>
                <w:sz w:val="21"/>
                <w:szCs w:val="21"/>
              </w:rPr>
              <w:t>11.2</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11.5</w:t>
            </w:r>
          </w:p>
        </w:tc>
        <w:tc>
          <w:tcPr>
            <w:tcW w:w="1136" w:type="dxa"/>
            <w:vAlign w:val="center"/>
          </w:tcPr>
          <w:p>
            <w:pPr>
              <w:adjustRightInd/>
              <w:snapToGrid/>
              <w:spacing w:line="240" w:lineRule="auto"/>
              <w:jc w:val="center"/>
              <w:rPr>
                <w:rFonts w:eastAsia="宋体"/>
                <w:sz w:val="21"/>
                <w:szCs w:val="21"/>
              </w:rPr>
            </w:pPr>
            <w:r>
              <w:rPr>
                <w:rFonts w:hint="eastAsia" w:eastAsia="宋体"/>
                <w:sz w:val="21"/>
                <w:szCs w:val="21"/>
              </w:rPr>
              <w:t>11.4</w:t>
            </w:r>
          </w:p>
        </w:tc>
        <w:tc>
          <w:tcPr>
            <w:tcW w:w="1143" w:type="dxa"/>
            <w:vAlign w:val="center"/>
          </w:tcPr>
          <w:p>
            <w:pPr>
              <w:adjustRightInd/>
              <w:snapToGrid/>
              <w:spacing w:line="240" w:lineRule="auto"/>
              <w:jc w:val="center"/>
              <w:rPr>
                <w:rFonts w:eastAsia="宋体"/>
                <w:sz w:val="21"/>
                <w:szCs w:val="21"/>
              </w:rPr>
            </w:pPr>
            <w:r>
              <w:rPr>
                <w:rFonts w:hint="eastAsia" w:eastAsia="宋体"/>
                <w:sz w:val="21"/>
                <w:szCs w:val="21"/>
              </w:rPr>
              <w:t>11.3</w:t>
            </w:r>
          </w:p>
        </w:tc>
        <w:tc>
          <w:tcPr>
            <w:tcW w:w="1235" w:type="dxa"/>
            <w:vMerge w:val="continue"/>
            <w:vAlign w:val="center"/>
          </w:tcPr>
          <w:p>
            <w:pPr>
              <w:adjustRightInd/>
              <w:snapToGrid/>
              <w:spacing w:line="240" w:lineRule="auto"/>
              <w:jc w:val="center"/>
              <w:rPr>
                <w:rFonts w:eastAsia="宋体"/>
                <w:sz w:val="21"/>
                <w:szCs w:val="21"/>
              </w:rPr>
            </w:pPr>
          </w:p>
        </w:tc>
        <w:tc>
          <w:tcPr>
            <w:tcW w:w="1054" w:type="dxa"/>
            <w:vMerge w:val="continue"/>
            <w:vAlign w:val="center"/>
          </w:tcPr>
          <w:p>
            <w:pPr>
              <w:adjustRightInd/>
              <w:snapToGrid/>
              <w:spacing w:line="240" w:lineRule="auto"/>
              <w:jc w:val="center"/>
              <w:rPr>
                <w:rFonts w:eastAsia="宋体"/>
                <w:sz w:val="21"/>
                <w:szCs w:val="21"/>
              </w:rPr>
            </w:pP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restart"/>
            <w:vAlign w:val="center"/>
          </w:tcPr>
          <w:p>
            <w:pPr>
              <w:adjustRightInd/>
              <w:snapToGrid/>
              <w:spacing w:line="240" w:lineRule="auto"/>
              <w:jc w:val="center"/>
              <w:rPr>
                <w:rFonts w:eastAsia="宋体"/>
                <w:sz w:val="21"/>
                <w:szCs w:val="21"/>
              </w:rPr>
            </w:pPr>
            <w:r>
              <w:rPr>
                <w:rFonts w:hint="eastAsia" w:eastAsia="宋体"/>
                <w:sz w:val="21"/>
                <w:szCs w:val="21"/>
              </w:rPr>
              <w:t>标干流量（</w:t>
            </w:r>
            <w:r>
              <w:rPr>
                <w:rFonts w:eastAsia="宋体"/>
                <w:sz w:val="21"/>
                <w:szCs w:val="21"/>
              </w:rPr>
              <w:t>m</w:t>
            </w:r>
            <w:r>
              <w:rPr>
                <w:rFonts w:eastAsia="宋体"/>
                <w:sz w:val="21"/>
                <w:szCs w:val="21"/>
                <w:vertAlign w:val="superscript"/>
              </w:rPr>
              <w:t>3</w:t>
            </w:r>
            <w:r>
              <w:rPr>
                <w:rFonts w:eastAsia="宋体"/>
                <w:sz w:val="21"/>
                <w:szCs w:val="21"/>
              </w:rPr>
              <w:t>/h</w:t>
            </w:r>
            <w:r>
              <w:rPr>
                <w:rFonts w:hint="eastAsia" w:eastAsia="宋体"/>
                <w:sz w:val="21"/>
                <w:szCs w:val="21"/>
              </w:rPr>
              <w:t>）</w:t>
            </w:r>
          </w:p>
        </w:tc>
        <w:tc>
          <w:tcPr>
            <w:tcW w:w="1201" w:type="dxa"/>
            <w:vAlign w:val="center"/>
          </w:tcPr>
          <w:p>
            <w:pPr>
              <w:widowControl/>
              <w:adjustRightInd/>
              <w:snapToGrid/>
              <w:spacing w:line="240" w:lineRule="auto"/>
              <w:jc w:val="center"/>
              <w:rPr>
                <w:rFonts w:eastAsia="宋体"/>
                <w:sz w:val="21"/>
                <w:szCs w:val="21"/>
              </w:rPr>
            </w:pPr>
            <w:r>
              <w:rPr>
                <w:rFonts w:eastAsia="宋体"/>
                <w:sz w:val="21"/>
                <w:szCs w:val="21"/>
              </w:rPr>
              <w:t>2017.12.21</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4224</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3965</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4108</w:t>
            </w:r>
          </w:p>
        </w:tc>
        <w:tc>
          <w:tcPr>
            <w:tcW w:w="1110"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4099</w:t>
            </w:r>
          </w:p>
        </w:tc>
        <w:tc>
          <w:tcPr>
            <w:tcW w:w="1150"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43"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235"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1054"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continue"/>
          </w:tcPr>
          <w:p>
            <w:pPr>
              <w:adjustRightInd/>
              <w:snapToGrid/>
              <w:spacing w:line="240" w:lineRule="auto"/>
              <w:jc w:val="center"/>
              <w:rPr>
                <w:rFonts w:eastAsia="宋体"/>
                <w:sz w:val="21"/>
                <w:szCs w:val="21"/>
              </w:rPr>
            </w:pPr>
          </w:p>
        </w:tc>
        <w:tc>
          <w:tcPr>
            <w:tcW w:w="1201" w:type="dxa"/>
            <w:vAlign w:val="center"/>
          </w:tcPr>
          <w:p>
            <w:pPr>
              <w:widowControl/>
              <w:adjustRightInd/>
              <w:snapToGrid/>
              <w:spacing w:line="240" w:lineRule="auto"/>
              <w:jc w:val="center"/>
              <w:rPr>
                <w:rFonts w:eastAsia="宋体"/>
                <w:sz w:val="21"/>
                <w:szCs w:val="21"/>
              </w:rPr>
            </w:pPr>
            <w:r>
              <w:rPr>
                <w:rFonts w:hint="eastAsia" w:eastAsia="宋体"/>
                <w:sz w:val="21"/>
                <w:szCs w:val="21"/>
              </w:rPr>
              <w:t>2017.12.22</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4059</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3823</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3972</w:t>
            </w:r>
          </w:p>
        </w:tc>
        <w:tc>
          <w:tcPr>
            <w:tcW w:w="1110"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3951</w:t>
            </w:r>
          </w:p>
        </w:tc>
        <w:tc>
          <w:tcPr>
            <w:tcW w:w="1150"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43"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235" w:type="dxa"/>
            <w:vMerge w:val="continue"/>
            <w:vAlign w:val="center"/>
          </w:tcPr>
          <w:p>
            <w:pPr>
              <w:adjustRightInd/>
              <w:snapToGrid/>
              <w:spacing w:line="240" w:lineRule="auto"/>
              <w:jc w:val="center"/>
              <w:rPr>
                <w:rFonts w:eastAsia="宋体"/>
                <w:sz w:val="21"/>
                <w:szCs w:val="21"/>
              </w:rPr>
            </w:pPr>
          </w:p>
        </w:tc>
        <w:tc>
          <w:tcPr>
            <w:tcW w:w="1054" w:type="dxa"/>
            <w:vMerge w:val="continue"/>
            <w:vAlign w:val="center"/>
          </w:tcPr>
          <w:p>
            <w:pPr>
              <w:adjustRightInd/>
              <w:snapToGrid/>
              <w:spacing w:line="240" w:lineRule="auto"/>
              <w:jc w:val="center"/>
              <w:rPr>
                <w:rFonts w:eastAsia="宋体"/>
                <w:sz w:val="21"/>
                <w:szCs w:val="21"/>
              </w:rPr>
            </w:pP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restart"/>
            <w:vAlign w:val="center"/>
          </w:tcPr>
          <w:p>
            <w:pPr>
              <w:adjustRightInd/>
              <w:snapToGrid/>
              <w:spacing w:line="240" w:lineRule="auto"/>
              <w:jc w:val="center"/>
              <w:rPr>
                <w:rFonts w:eastAsia="宋体"/>
                <w:sz w:val="21"/>
                <w:szCs w:val="21"/>
              </w:rPr>
            </w:pPr>
            <w:r>
              <w:rPr>
                <w:rFonts w:hint="eastAsia" w:eastAsia="宋体"/>
                <w:kern w:val="0"/>
                <w:sz w:val="21"/>
                <w:szCs w:val="21"/>
              </w:rPr>
              <w:t>2#切割工序废气排气筒（</w:t>
            </w:r>
            <w:r>
              <w:rPr>
                <w:rFonts w:hint="eastAsia" w:eastAsia="宋体"/>
                <w:sz w:val="21"/>
                <w:szCs w:val="21"/>
              </w:rPr>
              <w:t>处理后）</w:t>
            </w:r>
          </w:p>
        </w:tc>
        <w:tc>
          <w:tcPr>
            <w:tcW w:w="1034" w:type="dxa"/>
            <w:vMerge w:val="restart"/>
            <w:vAlign w:val="center"/>
          </w:tcPr>
          <w:p>
            <w:pPr>
              <w:adjustRightInd/>
              <w:snapToGrid/>
              <w:spacing w:line="240" w:lineRule="auto"/>
              <w:jc w:val="center"/>
              <w:rPr>
                <w:rFonts w:eastAsia="宋体"/>
                <w:sz w:val="21"/>
                <w:szCs w:val="21"/>
              </w:rPr>
            </w:pPr>
            <w:r>
              <w:rPr>
                <w:rFonts w:hint="eastAsia" w:eastAsia="宋体"/>
                <w:sz w:val="21"/>
                <w:szCs w:val="21"/>
              </w:rPr>
              <w:t>颗粒物</w:t>
            </w:r>
          </w:p>
        </w:tc>
        <w:tc>
          <w:tcPr>
            <w:tcW w:w="1201" w:type="dxa"/>
            <w:vAlign w:val="center"/>
          </w:tcPr>
          <w:p>
            <w:pPr>
              <w:widowControl/>
              <w:adjustRightInd/>
              <w:snapToGrid/>
              <w:spacing w:line="240" w:lineRule="auto"/>
              <w:jc w:val="center"/>
              <w:rPr>
                <w:rFonts w:eastAsia="宋体"/>
                <w:sz w:val="21"/>
                <w:szCs w:val="21"/>
              </w:rPr>
            </w:pPr>
            <w:r>
              <w:rPr>
                <w:rFonts w:eastAsia="宋体"/>
                <w:sz w:val="21"/>
                <w:szCs w:val="21"/>
              </w:rPr>
              <w:t>2017.12.21</w:t>
            </w:r>
          </w:p>
        </w:tc>
        <w:tc>
          <w:tcPr>
            <w:tcW w:w="1109" w:type="dxa"/>
            <w:vAlign w:val="center"/>
          </w:tcPr>
          <w:p>
            <w:pPr>
              <w:adjustRightInd/>
              <w:snapToGrid/>
              <w:spacing w:line="240" w:lineRule="auto"/>
              <w:jc w:val="center"/>
              <w:rPr>
                <w:rFonts w:eastAsia="宋体"/>
                <w:color w:val="000000"/>
                <w:sz w:val="21"/>
                <w:szCs w:val="21"/>
              </w:rPr>
            </w:pPr>
            <w:r>
              <w:rPr>
                <w:rFonts w:hAnsi="宋体" w:eastAsia="宋体"/>
                <w:color w:val="000000"/>
                <w:sz w:val="21"/>
                <w:szCs w:val="21"/>
              </w:rPr>
              <w:t>＜</w:t>
            </w:r>
            <w:r>
              <w:rPr>
                <w:rFonts w:eastAsia="宋体"/>
                <w:color w:val="000000"/>
                <w:sz w:val="21"/>
                <w:szCs w:val="21"/>
              </w:rPr>
              <w:t>5</w:t>
            </w:r>
          </w:p>
        </w:tc>
        <w:tc>
          <w:tcPr>
            <w:tcW w:w="1110" w:type="dxa"/>
            <w:vAlign w:val="center"/>
          </w:tcPr>
          <w:p>
            <w:pPr>
              <w:adjustRightInd/>
              <w:snapToGrid/>
              <w:spacing w:line="240" w:lineRule="auto"/>
              <w:jc w:val="center"/>
              <w:rPr>
                <w:rFonts w:eastAsia="宋体"/>
                <w:color w:val="000000"/>
                <w:sz w:val="21"/>
                <w:szCs w:val="21"/>
              </w:rPr>
            </w:pPr>
            <w:r>
              <w:rPr>
                <w:rFonts w:hint="eastAsia" w:eastAsia="宋体"/>
                <w:color w:val="000000"/>
                <w:sz w:val="21"/>
                <w:szCs w:val="21"/>
              </w:rPr>
              <w:t>7.1</w:t>
            </w:r>
          </w:p>
        </w:tc>
        <w:tc>
          <w:tcPr>
            <w:tcW w:w="1109" w:type="dxa"/>
            <w:vAlign w:val="center"/>
          </w:tcPr>
          <w:p>
            <w:pPr>
              <w:adjustRightInd/>
              <w:snapToGrid/>
              <w:spacing w:line="240" w:lineRule="auto"/>
              <w:jc w:val="center"/>
              <w:rPr>
                <w:rFonts w:eastAsia="宋体"/>
                <w:color w:val="000000"/>
                <w:sz w:val="21"/>
                <w:szCs w:val="21"/>
              </w:rPr>
            </w:pPr>
            <w:r>
              <w:rPr>
                <w:rFonts w:hint="eastAsia" w:eastAsia="宋体"/>
                <w:color w:val="000000"/>
                <w:sz w:val="21"/>
                <w:szCs w:val="21"/>
              </w:rPr>
              <w:t>7.4</w:t>
            </w:r>
          </w:p>
        </w:tc>
        <w:tc>
          <w:tcPr>
            <w:tcW w:w="1110"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5.7</w:t>
            </w:r>
          </w:p>
        </w:tc>
        <w:tc>
          <w:tcPr>
            <w:tcW w:w="1150"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1.59</w:t>
            </w:r>
            <w:r>
              <w:rPr>
                <w:rFonts w:hint="eastAsia" w:hAnsi="宋体" w:eastAsia="宋体"/>
                <w:sz w:val="21"/>
                <w:szCs w:val="21"/>
              </w:rPr>
              <w:t>×10</w:t>
            </w:r>
            <w:r>
              <w:rPr>
                <w:rFonts w:hint="eastAsia" w:hAnsi="宋体" w:eastAsia="宋体"/>
                <w:sz w:val="21"/>
                <w:szCs w:val="21"/>
                <w:vertAlign w:val="superscript"/>
              </w:rPr>
              <w:t>-2</w:t>
            </w:r>
          </w:p>
        </w:tc>
        <w:tc>
          <w:tcPr>
            <w:tcW w:w="1136"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4.37</w:t>
            </w:r>
            <w:r>
              <w:rPr>
                <w:rFonts w:hint="eastAsia" w:hAnsi="宋体" w:eastAsia="宋体"/>
                <w:sz w:val="21"/>
                <w:szCs w:val="21"/>
              </w:rPr>
              <w:t>×10</w:t>
            </w:r>
            <w:r>
              <w:rPr>
                <w:rFonts w:hint="eastAsia" w:hAnsi="宋体" w:eastAsia="宋体"/>
                <w:sz w:val="21"/>
                <w:szCs w:val="21"/>
                <w:vertAlign w:val="superscript"/>
              </w:rPr>
              <w:t>-2</w:t>
            </w:r>
          </w:p>
        </w:tc>
        <w:tc>
          <w:tcPr>
            <w:tcW w:w="1136"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4.49</w:t>
            </w:r>
            <w:r>
              <w:rPr>
                <w:rFonts w:hint="eastAsia" w:hAnsi="宋体" w:eastAsia="宋体"/>
                <w:sz w:val="21"/>
                <w:szCs w:val="21"/>
              </w:rPr>
              <w:t>×10</w:t>
            </w:r>
            <w:r>
              <w:rPr>
                <w:rFonts w:hint="eastAsia" w:hAnsi="宋体" w:eastAsia="宋体"/>
                <w:sz w:val="21"/>
                <w:szCs w:val="21"/>
                <w:vertAlign w:val="superscript"/>
              </w:rPr>
              <w:t>-2</w:t>
            </w:r>
          </w:p>
        </w:tc>
        <w:tc>
          <w:tcPr>
            <w:tcW w:w="1143"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3.48</w:t>
            </w:r>
            <w:r>
              <w:rPr>
                <w:rFonts w:hint="eastAsia" w:hAnsi="宋体" w:eastAsia="宋体"/>
                <w:sz w:val="21"/>
                <w:szCs w:val="21"/>
              </w:rPr>
              <w:t>×10</w:t>
            </w:r>
            <w:r>
              <w:rPr>
                <w:rFonts w:hint="eastAsia" w:hAnsi="宋体" w:eastAsia="宋体"/>
                <w:sz w:val="21"/>
                <w:szCs w:val="21"/>
                <w:vertAlign w:val="superscript"/>
              </w:rPr>
              <w:t>-2</w:t>
            </w:r>
          </w:p>
        </w:tc>
        <w:tc>
          <w:tcPr>
            <w:tcW w:w="1235"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10</w:t>
            </w:r>
          </w:p>
        </w:tc>
        <w:tc>
          <w:tcPr>
            <w:tcW w:w="1054"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3.5</w:t>
            </w:r>
          </w:p>
        </w:tc>
        <w:tc>
          <w:tcPr>
            <w:tcW w:w="900" w:type="dxa"/>
            <w:vMerge w:val="restart"/>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15/0.3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continue"/>
            <w:vAlign w:val="center"/>
          </w:tcPr>
          <w:p>
            <w:pPr>
              <w:adjustRightInd/>
              <w:snapToGrid/>
              <w:spacing w:line="240" w:lineRule="auto"/>
              <w:jc w:val="center"/>
              <w:rPr>
                <w:rFonts w:eastAsia="宋体"/>
                <w:sz w:val="21"/>
                <w:szCs w:val="21"/>
              </w:rPr>
            </w:pPr>
          </w:p>
        </w:tc>
        <w:tc>
          <w:tcPr>
            <w:tcW w:w="1201" w:type="dxa"/>
            <w:vAlign w:val="center"/>
          </w:tcPr>
          <w:p>
            <w:pPr>
              <w:widowControl/>
              <w:adjustRightInd/>
              <w:snapToGrid/>
              <w:spacing w:line="240" w:lineRule="auto"/>
              <w:jc w:val="center"/>
              <w:rPr>
                <w:rFonts w:eastAsia="宋体"/>
                <w:sz w:val="21"/>
                <w:szCs w:val="21"/>
              </w:rPr>
            </w:pPr>
            <w:r>
              <w:rPr>
                <w:rFonts w:hint="eastAsia" w:eastAsia="宋体"/>
                <w:sz w:val="21"/>
                <w:szCs w:val="21"/>
              </w:rPr>
              <w:t>2017.12.22</w:t>
            </w:r>
          </w:p>
        </w:tc>
        <w:tc>
          <w:tcPr>
            <w:tcW w:w="1109" w:type="dxa"/>
            <w:vAlign w:val="center"/>
          </w:tcPr>
          <w:p>
            <w:pPr>
              <w:adjustRightInd/>
              <w:snapToGrid/>
              <w:spacing w:line="240" w:lineRule="auto"/>
              <w:jc w:val="center"/>
              <w:rPr>
                <w:rFonts w:eastAsia="宋体"/>
                <w:color w:val="000000"/>
                <w:sz w:val="21"/>
                <w:szCs w:val="21"/>
              </w:rPr>
            </w:pPr>
            <w:r>
              <w:rPr>
                <w:rFonts w:hint="eastAsia" w:eastAsia="宋体"/>
                <w:color w:val="000000"/>
                <w:sz w:val="21"/>
                <w:szCs w:val="21"/>
              </w:rPr>
              <w:t>8.0</w:t>
            </w:r>
          </w:p>
        </w:tc>
        <w:tc>
          <w:tcPr>
            <w:tcW w:w="1110" w:type="dxa"/>
            <w:vAlign w:val="center"/>
          </w:tcPr>
          <w:p>
            <w:pPr>
              <w:adjustRightInd/>
              <w:snapToGrid/>
              <w:spacing w:line="240" w:lineRule="auto"/>
              <w:jc w:val="center"/>
              <w:rPr>
                <w:rFonts w:eastAsia="宋体"/>
                <w:color w:val="000000"/>
                <w:sz w:val="21"/>
                <w:szCs w:val="21"/>
              </w:rPr>
            </w:pPr>
            <w:r>
              <w:rPr>
                <w:rFonts w:hint="eastAsia" w:hAnsi="宋体" w:eastAsia="宋体"/>
                <w:color w:val="000000"/>
                <w:sz w:val="21"/>
                <w:szCs w:val="21"/>
              </w:rPr>
              <w:t>5.6</w:t>
            </w:r>
          </w:p>
        </w:tc>
        <w:tc>
          <w:tcPr>
            <w:tcW w:w="1109" w:type="dxa"/>
            <w:vAlign w:val="center"/>
          </w:tcPr>
          <w:p>
            <w:pPr>
              <w:adjustRightInd/>
              <w:snapToGrid/>
              <w:spacing w:line="240" w:lineRule="auto"/>
              <w:jc w:val="center"/>
              <w:rPr>
                <w:rFonts w:eastAsia="宋体"/>
                <w:sz w:val="21"/>
                <w:szCs w:val="21"/>
              </w:rPr>
            </w:pPr>
            <w:r>
              <w:rPr>
                <w:rFonts w:hint="eastAsia" w:hAnsi="宋体" w:eastAsia="宋体"/>
                <w:color w:val="000000"/>
                <w:sz w:val="21"/>
                <w:szCs w:val="21"/>
              </w:rPr>
              <w:t>5.2</w:t>
            </w:r>
          </w:p>
        </w:tc>
        <w:tc>
          <w:tcPr>
            <w:tcW w:w="1110"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6.3</w:t>
            </w:r>
          </w:p>
        </w:tc>
        <w:tc>
          <w:tcPr>
            <w:tcW w:w="1150"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4.79</w:t>
            </w:r>
            <w:r>
              <w:rPr>
                <w:rFonts w:hint="eastAsia" w:hAnsi="宋体" w:eastAsia="宋体"/>
                <w:sz w:val="21"/>
                <w:szCs w:val="21"/>
              </w:rPr>
              <w:t>×10</w:t>
            </w:r>
            <w:r>
              <w:rPr>
                <w:rFonts w:hint="eastAsia" w:hAnsi="宋体" w:eastAsia="宋体"/>
                <w:sz w:val="21"/>
                <w:szCs w:val="21"/>
                <w:vertAlign w:val="superscript"/>
              </w:rPr>
              <w:t>-2</w:t>
            </w:r>
          </w:p>
        </w:tc>
        <w:tc>
          <w:tcPr>
            <w:tcW w:w="1136"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3.39</w:t>
            </w:r>
            <w:r>
              <w:rPr>
                <w:rFonts w:hint="eastAsia" w:hAnsi="宋体" w:eastAsia="宋体"/>
                <w:sz w:val="21"/>
                <w:szCs w:val="21"/>
              </w:rPr>
              <w:t>×10</w:t>
            </w:r>
            <w:r>
              <w:rPr>
                <w:rFonts w:hint="eastAsia" w:hAnsi="宋体" w:eastAsia="宋体"/>
                <w:sz w:val="21"/>
                <w:szCs w:val="21"/>
                <w:vertAlign w:val="superscript"/>
              </w:rPr>
              <w:t>-2</w:t>
            </w:r>
          </w:p>
        </w:tc>
        <w:tc>
          <w:tcPr>
            <w:tcW w:w="1136"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3.09</w:t>
            </w:r>
            <w:r>
              <w:rPr>
                <w:rFonts w:hint="eastAsia" w:hAnsi="宋体" w:eastAsia="宋体"/>
                <w:sz w:val="21"/>
                <w:szCs w:val="21"/>
              </w:rPr>
              <w:t>×10</w:t>
            </w:r>
            <w:r>
              <w:rPr>
                <w:rFonts w:hint="eastAsia" w:hAnsi="宋体" w:eastAsia="宋体"/>
                <w:sz w:val="21"/>
                <w:szCs w:val="21"/>
                <w:vertAlign w:val="superscript"/>
              </w:rPr>
              <w:t>-2</w:t>
            </w:r>
          </w:p>
        </w:tc>
        <w:tc>
          <w:tcPr>
            <w:tcW w:w="1143" w:type="dxa"/>
            <w:vAlign w:val="center"/>
          </w:tcPr>
          <w:p>
            <w:pPr>
              <w:adjustRightInd/>
              <w:snapToGrid/>
              <w:spacing w:line="240" w:lineRule="auto"/>
              <w:jc w:val="center"/>
              <w:rPr>
                <w:rFonts w:ascii="宋体" w:hAnsi="宋体" w:eastAsia="宋体" w:cs="宋体"/>
                <w:color w:val="000000"/>
                <w:sz w:val="21"/>
                <w:szCs w:val="21"/>
              </w:rPr>
            </w:pPr>
            <w:r>
              <w:rPr>
                <w:rFonts w:hint="eastAsia" w:eastAsia="宋体"/>
                <w:color w:val="000000"/>
                <w:sz w:val="21"/>
                <w:szCs w:val="21"/>
              </w:rPr>
              <w:t>3.76</w:t>
            </w:r>
            <w:r>
              <w:rPr>
                <w:rFonts w:hint="eastAsia" w:hAnsi="宋体" w:eastAsia="宋体"/>
                <w:sz w:val="21"/>
                <w:szCs w:val="21"/>
              </w:rPr>
              <w:t>×10</w:t>
            </w:r>
            <w:r>
              <w:rPr>
                <w:rFonts w:hint="eastAsia" w:hAnsi="宋体" w:eastAsia="宋体"/>
                <w:sz w:val="21"/>
                <w:szCs w:val="21"/>
                <w:vertAlign w:val="superscript"/>
              </w:rPr>
              <w:t>-2</w:t>
            </w:r>
          </w:p>
        </w:tc>
        <w:tc>
          <w:tcPr>
            <w:tcW w:w="1235" w:type="dxa"/>
            <w:vMerge w:val="continue"/>
            <w:vAlign w:val="center"/>
          </w:tcPr>
          <w:p>
            <w:pPr>
              <w:adjustRightInd/>
              <w:snapToGrid/>
              <w:spacing w:line="240" w:lineRule="auto"/>
              <w:jc w:val="center"/>
              <w:rPr>
                <w:rFonts w:eastAsia="宋体"/>
                <w:sz w:val="21"/>
                <w:szCs w:val="21"/>
              </w:rPr>
            </w:pPr>
          </w:p>
        </w:tc>
        <w:tc>
          <w:tcPr>
            <w:tcW w:w="1054" w:type="dxa"/>
            <w:vMerge w:val="continue"/>
            <w:vAlign w:val="center"/>
          </w:tcPr>
          <w:p>
            <w:pPr>
              <w:adjustRightInd/>
              <w:snapToGrid/>
              <w:spacing w:line="240" w:lineRule="auto"/>
              <w:jc w:val="center"/>
              <w:rPr>
                <w:rFonts w:eastAsia="宋体"/>
                <w:sz w:val="21"/>
                <w:szCs w:val="21"/>
              </w:rPr>
            </w:pP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restart"/>
            <w:vAlign w:val="center"/>
          </w:tcPr>
          <w:p>
            <w:pPr>
              <w:adjustRightInd/>
              <w:snapToGrid/>
              <w:spacing w:line="240" w:lineRule="auto"/>
              <w:jc w:val="center"/>
              <w:rPr>
                <w:rFonts w:eastAsia="宋体"/>
                <w:sz w:val="21"/>
                <w:szCs w:val="21"/>
              </w:rPr>
            </w:pPr>
            <w:r>
              <w:rPr>
                <w:rFonts w:hint="eastAsia" w:eastAsia="宋体"/>
                <w:sz w:val="21"/>
                <w:szCs w:val="21"/>
              </w:rPr>
              <w:t>标干流量（</w:t>
            </w:r>
            <w:r>
              <w:rPr>
                <w:rFonts w:eastAsia="宋体"/>
                <w:sz w:val="21"/>
                <w:szCs w:val="21"/>
              </w:rPr>
              <w:t>m</w:t>
            </w:r>
            <w:r>
              <w:rPr>
                <w:rFonts w:eastAsia="宋体"/>
                <w:sz w:val="21"/>
                <w:szCs w:val="21"/>
                <w:vertAlign w:val="superscript"/>
              </w:rPr>
              <w:t>3</w:t>
            </w:r>
            <w:r>
              <w:rPr>
                <w:rFonts w:eastAsia="宋体"/>
                <w:sz w:val="21"/>
                <w:szCs w:val="21"/>
              </w:rPr>
              <w:t>/h</w:t>
            </w:r>
            <w:r>
              <w:rPr>
                <w:rFonts w:hint="eastAsia" w:eastAsia="宋体"/>
                <w:sz w:val="21"/>
                <w:szCs w:val="21"/>
              </w:rPr>
              <w:t>）</w:t>
            </w:r>
          </w:p>
        </w:tc>
        <w:tc>
          <w:tcPr>
            <w:tcW w:w="1201"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2017.12.21</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6350</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6159</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6071</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6193</w:t>
            </w:r>
          </w:p>
        </w:tc>
        <w:tc>
          <w:tcPr>
            <w:tcW w:w="1150"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43"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235"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1054" w:type="dxa"/>
            <w:vMerge w:val="restart"/>
            <w:vAlign w:val="center"/>
          </w:tcPr>
          <w:p>
            <w:pPr>
              <w:adjustRightInd/>
              <w:snapToGrid/>
              <w:spacing w:line="240" w:lineRule="auto"/>
              <w:jc w:val="center"/>
              <w:rPr>
                <w:rFonts w:eastAsia="宋体"/>
                <w:sz w:val="21"/>
                <w:szCs w:val="21"/>
              </w:rPr>
            </w:pPr>
            <w:r>
              <w:rPr>
                <w:rFonts w:hint="eastAsia" w:hAnsi="宋体" w:eastAsia="宋体"/>
                <w:sz w:val="21"/>
                <w:szCs w:val="21"/>
              </w:rPr>
              <w:t>—</w:t>
            </w: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012" w:type="dxa"/>
            <w:vMerge w:val="continue"/>
            <w:vAlign w:val="center"/>
          </w:tcPr>
          <w:p>
            <w:pPr>
              <w:adjustRightInd/>
              <w:snapToGrid/>
              <w:spacing w:line="240" w:lineRule="auto"/>
              <w:jc w:val="center"/>
              <w:rPr>
                <w:rFonts w:eastAsia="宋体"/>
                <w:sz w:val="21"/>
                <w:szCs w:val="21"/>
              </w:rPr>
            </w:pPr>
          </w:p>
        </w:tc>
        <w:tc>
          <w:tcPr>
            <w:tcW w:w="1034" w:type="dxa"/>
            <w:vMerge w:val="continue"/>
            <w:vAlign w:val="center"/>
          </w:tcPr>
          <w:p>
            <w:pPr>
              <w:adjustRightInd/>
              <w:snapToGrid/>
              <w:spacing w:line="240" w:lineRule="auto"/>
              <w:jc w:val="center"/>
              <w:rPr>
                <w:rFonts w:eastAsia="宋体"/>
                <w:sz w:val="21"/>
                <w:szCs w:val="21"/>
              </w:rPr>
            </w:pPr>
          </w:p>
        </w:tc>
        <w:tc>
          <w:tcPr>
            <w:tcW w:w="1201"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2017.12.22</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5986</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6062</w:t>
            </w:r>
          </w:p>
        </w:tc>
        <w:tc>
          <w:tcPr>
            <w:tcW w:w="1109" w:type="dxa"/>
            <w:vAlign w:val="center"/>
          </w:tcPr>
          <w:p>
            <w:pPr>
              <w:adjustRightInd/>
              <w:snapToGrid/>
              <w:spacing w:line="240" w:lineRule="auto"/>
              <w:jc w:val="center"/>
              <w:rPr>
                <w:rFonts w:eastAsia="宋体"/>
                <w:sz w:val="21"/>
                <w:szCs w:val="21"/>
              </w:rPr>
            </w:pPr>
            <w:r>
              <w:rPr>
                <w:rFonts w:hint="eastAsia" w:eastAsia="宋体"/>
                <w:sz w:val="21"/>
                <w:szCs w:val="21"/>
              </w:rPr>
              <w:t>5934</w:t>
            </w:r>
          </w:p>
        </w:tc>
        <w:tc>
          <w:tcPr>
            <w:tcW w:w="1110" w:type="dxa"/>
            <w:vAlign w:val="center"/>
          </w:tcPr>
          <w:p>
            <w:pPr>
              <w:adjustRightInd/>
              <w:snapToGrid/>
              <w:spacing w:line="240" w:lineRule="auto"/>
              <w:jc w:val="center"/>
              <w:rPr>
                <w:rFonts w:eastAsia="宋体"/>
                <w:sz w:val="21"/>
                <w:szCs w:val="21"/>
              </w:rPr>
            </w:pPr>
            <w:r>
              <w:rPr>
                <w:rFonts w:hint="eastAsia" w:eastAsia="宋体"/>
                <w:sz w:val="21"/>
                <w:szCs w:val="21"/>
              </w:rPr>
              <w:t>5994</w:t>
            </w:r>
          </w:p>
        </w:tc>
        <w:tc>
          <w:tcPr>
            <w:tcW w:w="1150"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36"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143" w:type="dxa"/>
            <w:vAlign w:val="center"/>
          </w:tcPr>
          <w:p>
            <w:pPr>
              <w:widowControl/>
              <w:adjustRightInd/>
              <w:snapToGrid/>
              <w:spacing w:line="240" w:lineRule="auto"/>
              <w:jc w:val="center"/>
              <w:rPr>
                <w:rFonts w:hAnsi="宋体" w:eastAsia="宋体"/>
                <w:sz w:val="21"/>
                <w:szCs w:val="21"/>
              </w:rPr>
            </w:pPr>
            <w:r>
              <w:rPr>
                <w:rFonts w:hint="eastAsia" w:hAnsi="宋体" w:eastAsia="宋体"/>
                <w:sz w:val="21"/>
                <w:szCs w:val="21"/>
              </w:rPr>
              <w:t>—</w:t>
            </w:r>
          </w:p>
        </w:tc>
        <w:tc>
          <w:tcPr>
            <w:tcW w:w="1235" w:type="dxa"/>
            <w:vMerge w:val="continue"/>
            <w:vAlign w:val="center"/>
          </w:tcPr>
          <w:p>
            <w:pPr>
              <w:adjustRightInd/>
              <w:snapToGrid/>
              <w:spacing w:line="240" w:lineRule="auto"/>
              <w:jc w:val="center"/>
              <w:rPr>
                <w:rFonts w:eastAsia="宋体"/>
                <w:sz w:val="21"/>
                <w:szCs w:val="21"/>
              </w:rPr>
            </w:pPr>
          </w:p>
        </w:tc>
        <w:tc>
          <w:tcPr>
            <w:tcW w:w="1054" w:type="dxa"/>
            <w:vMerge w:val="continue"/>
            <w:vAlign w:val="center"/>
          </w:tcPr>
          <w:p>
            <w:pPr>
              <w:adjustRightInd/>
              <w:snapToGrid/>
              <w:spacing w:line="240" w:lineRule="auto"/>
              <w:jc w:val="center"/>
              <w:rPr>
                <w:rFonts w:eastAsia="宋体"/>
                <w:sz w:val="21"/>
                <w:szCs w:val="21"/>
              </w:rPr>
            </w:pPr>
          </w:p>
        </w:tc>
        <w:tc>
          <w:tcPr>
            <w:tcW w:w="900" w:type="dxa"/>
            <w:vMerge w:val="continue"/>
            <w:vAlign w:val="center"/>
          </w:tcPr>
          <w:p>
            <w:pPr>
              <w:adjustRightInd/>
              <w:snapToGrid/>
              <w:spacing w:line="240" w:lineRule="auto"/>
              <w:jc w:val="center"/>
              <w:rPr>
                <w:rFonts w:eastAsia="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2" w:hRule="atLeast"/>
          <w:jc w:val="center"/>
        </w:trPr>
        <w:tc>
          <w:tcPr>
            <w:tcW w:w="15439" w:type="dxa"/>
            <w:gridSpan w:val="14"/>
          </w:tcPr>
          <w:p>
            <w:pPr>
              <w:adjustRightInd/>
              <w:snapToGrid/>
              <w:spacing w:line="240" w:lineRule="auto"/>
              <w:ind w:left="315" w:hanging="315" w:hangingChars="150"/>
              <w:rPr>
                <w:rFonts w:hAnsi="宋体" w:eastAsia="宋体"/>
                <w:sz w:val="21"/>
                <w:szCs w:val="21"/>
              </w:rPr>
            </w:pPr>
            <w:r>
              <w:rPr>
                <w:rFonts w:hint="eastAsia" w:eastAsia="宋体"/>
                <w:sz w:val="21"/>
                <w:szCs w:val="21"/>
              </w:rPr>
              <w:t>备注：1、该项目颗粒物排放浓度执行《山东省区域性大气污染物综合排放标准》表2“重点控制区”限值要求，</w:t>
            </w:r>
            <w:r>
              <w:rPr>
                <w:rFonts w:hint="eastAsia" w:hAnsi="宋体" w:eastAsia="宋体"/>
                <w:sz w:val="21"/>
                <w:szCs w:val="21"/>
              </w:rPr>
              <w:t>排放速率执行《大气污染物综合排放标准》（GB 16297-1996）表2中二级标准要求；</w:t>
            </w:r>
          </w:p>
          <w:p>
            <w:pPr>
              <w:adjustRightInd/>
              <w:snapToGrid/>
              <w:spacing w:line="240" w:lineRule="auto"/>
              <w:ind w:left="315" w:hanging="315" w:hangingChars="150"/>
              <w:rPr>
                <w:rFonts w:eastAsia="宋体"/>
                <w:sz w:val="21"/>
                <w:szCs w:val="21"/>
              </w:rPr>
            </w:pPr>
            <w:r>
              <w:rPr>
                <w:rFonts w:hint="eastAsia" w:hAnsi="宋体" w:eastAsia="宋体"/>
                <w:sz w:val="21"/>
                <w:szCs w:val="21"/>
              </w:rPr>
              <w:t xml:space="preserve">      2、</w:t>
            </w:r>
            <w:r>
              <w:rPr>
                <w:rFonts w:hint="eastAsia" w:hAnsi="宋体" w:eastAsia="宋体"/>
                <w:sz w:val="22"/>
              </w:rPr>
              <w:t>根据本次监测数据计算，</w:t>
            </w:r>
            <w:r>
              <w:rPr>
                <w:rFonts w:hint="eastAsia" w:eastAsia="宋体"/>
                <w:sz w:val="22"/>
              </w:rPr>
              <w:t>颗粒物处理效率为99.7%；</w:t>
            </w:r>
          </w:p>
          <w:p>
            <w:pPr>
              <w:adjustRightInd/>
              <w:snapToGrid/>
              <w:spacing w:line="240" w:lineRule="auto"/>
              <w:ind w:left="315" w:hanging="315" w:hangingChars="150"/>
              <w:rPr>
                <w:rFonts w:eastAsia="宋体"/>
                <w:sz w:val="21"/>
                <w:szCs w:val="21"/>
              </w:rPr>
            </w:pPr>
            <w:r>
              <w:rPr>
                <w:rFonts w:hint="eastAsia" w:eastAsia="宋体"/>
                <w:sz w:val="21"/>
                <w:szCs w:val="21"/>
              </w:rPr>
              <w:t xml:space="preserve">      3、</w:t>
            </w:r>
            <w:r>
              <w:rPr>
                <w:rFonts w:hint="eastAsia" w:hAnsi="宋体" w:eastAsia="宋体"/>
                <w:sz w:val="21"/>
                <w:szCs w:val="21"/>
              </w:rPr>
              <w:t>小于检出限的项目以检出限的二分之一参与计算</w:t>
            </w:r>
            <w:r>
              <w:rPr>
                <w:rFonts w:hint="eastAsia" w:eastAsia="宋体"/>
                <w:sz w:val="21"/>
                <w:szCs w:val="21"/>
              </w:rPr>
              <w:t>。</w:t>
            </w:r>
          </w:p>
        </w:tc>
      </w:tr>
    </w:tbl>
    <w:p>
      <w:pPr>
        <w:widowControl/>
        <w:shd w:val="clear" w:color="auto" w:fill="FFFFFF"/>
        <w:spacing w:line="240" w:lineRule="auto"/>
        <w:jc w:val="center"/>
        <w:rPr>
          <w:color w:val="3E3E3E"/>
          <w:kern w:val="0"/>
          <w:sz w:val="24"/>
          <w:szCs w:val="26"/>
        </w:rPr>
        <w:sectPr>
          <w:footerReference r:id="rId29" w:type="default"/>
          <w:footerReference r:id="rId30" w:type="even"/>
          <w:pgSz w:w="16838" w:h="11906" w:orient="landscape"/>
          <w:pgMar w:top="1588" w:right="1440" w:bottom="1588" w:left="1191" w:header="851" w:footer="992" w:gutter="0"/>
          <w:cols w:space="425" w:num="1"/>
          <w:docGrid w:type="lines" w:linePitch="354" w:charSpace="0"/>
        </w:sectPr>
      </w:pPr>
    </w:p>
    <w:p>
      <w:pPr>
        <w:widowControl/>
        <w:shd w:val="clear" w:color="auto" w:fill="FFFFFF"/>
        <w:spacing w:line="240" w:lineRule="auto"/>
        <w:jc w:val="center"/>
        <w:rPr>
          <w:color w:val="3E3E3E"/>
          <w:kern w:val="0"/>
          <w:sz w:val="24"/>
          <w:szCs w:val="26"/>
        </w:rPr>
      </w:pPr>
      <w:r>
        <w:rPr>
          <w:rFonts w:hint="eastAsia"/>
          <w:color w:val="3E3E3E"/>
          <w:kern w:val="0"/>
          <w:sz w:val="24"/>
          <w:szCs w:val="26"/>
        </w:rPr>
        <w:t xml:space="preserve">表9-2  </w:t>
      </w:r>
      <w:r>
        <w:rPr>
          <w:color w:val="3E3E3E"/>
          <w:kern w:val="0"/>
          <w:sz w:val="24"/>
          <w:szCs w:val="26"/>
        </w:rPr>
        <w:t>无组织废气监测数据一览表</w:t>
      </w:r>
    </w:p>
    <w:tbl>
      <w:tblPr>
        <w:tblStyle w:val="47"/>
        <w:tblW w:w="14985"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88"/>
        <w:gridCol w:w="1566"/>
        <w:gridCol w:w="1322"/>
        <w:gridCol w:w="1324"/>
        <w:gridCol w:w="1594"/>
        <w:gridCol w:w="1594"/>
        <w:gridCol w:w="1594"/>
        <w:gridCol w:w="1594"/>
        <w:gridCol w:w="1684"/>
        <w:gridCol w:w="15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3" w:hRule="atLeast"/>
          <w:jc w:val="center"/>
        </w:trPr>
        <w:tc>
          <w:tcPr>
            <w:tcW w:w="1188" w:type="dxa"/>
            <w:vMerge w:val="restart"/>
            <w:vAlign w:val="center"/>
          </w:tcPr>
          <w:p>
            <w:pPr>
              <w:adjustRightInd/>
              <w:snapToGrid/>
              <w:spacing w:line="240" w:lineRule="auto"/>
              <w:jc w:val="center"/>
              <w:rPr>
                <w:rFonts w:eastAsia="宋体"/>
                <w:sz w:val="22"/>
              </w:rPr>
            </w:pPr>
            <w:r>
              <w:rPr>
                <w:rFonts w:hint="eastAsia" w:eastAsia="宋体"/>
                <w:sz w:val="22"/>
              </w:rPr>
              <w:t>设施</w:t>
            </w:r>
          </w:p>
        </w:tc>
        <w:tc>
          <w:tcPr>
            <w:tcW w:w="1566" w:type="dxa"/>
            <w:vMerge w:val="restart"/>
            <w:vAlign w:val="center"/>
          </w:tcPr>
          <w:p>
            <w:pPr>
              <w:adjustRightInd/>
              <w:snapToGrid/>
              <w:spacing w:line="240" w:lineRule="auto"/>
              <w:jc w:val="center"/>
              <w:rPr>
                <w:rFonts w:eastAsia="宋体"/>
                <w:sz w:val="22"/>
              </w:rPr>
            </w:pPr>
            <w:r>
              <w:rPr>
                <w:rFonts w:hint="eastAsia" w:eastAsia="宋体"/>
                <w:sz w:val="22"/>
              </w:rPr>
              <w:t>监测项目</w:t>
            </w:r>
          </w:p>
        </w:tc>
        <w:tc>
          <w:tcPr>
            <w:tcW w:w="2646" w:type="dxa"/>
            <w:gridSpan w:val="2"/>
            <w:vMerge w:val="restart"/>
            <w:vAlign w:val="center"/>
          </w:tcPr>
          <w:p>
            <w:pPr>
              <w:adjustRightInd/>
              <w:snapToGrid/>
              <w:spacing w:line="240" w:lineRule="auto"/>
              <w:jc w:val="center"/>
              <w:rPr>
                <w:rFonts w:eastAsia="宋体"/>
                <w:sz w:val="22"/>
              </w:rPr>
            </w:pPr>
            <w:r>
              <w:rPr>
                <w:rFonts w:hint="eastAsia" w:eastAsia="宋体"/>
                <w:sz w:val="22"/>
              </w:rPr>
              <w:t>监测日期</w:t>
            </w:r>
          </w:p>
        </w:tc>
        <w:tc>
          <w:tcPr>
            <w:tcW w:w="6376" w:type="dxa"/>
            <w:gridSpan w:val="4"/>
            <w:vAlign w:val="center"/>
          </w:tcPr>
          <w:p>
            <w:pPr>
              <w:adjustRightInd/>
              <w:snapToGrid/>
              <w:spacing w:line="240" w:lineRule="auto"/>
              <w:jc w:val="center"/>
              <w:rPr>
                <w:rFonts w:eastAsia="宋体"/>
                <w:sz w:val="22"/>
              </w:rPr>
            </w:pPr>
            <w:r>
              <w:rPr>
                <w:rFonts w:hint="eastAsia" w:eastAsia="宋体"/>
                <w:sz w:val="22"/>
              </w:rPr>
              <w:t>监测结果(</w:t>
            </w:r>
            <w:r>
              <w:rPr>
                <w:rFonts w:eastAsia="宋体"/>
                <w:sz w:val="22"/>
              </w:rPr>
              <w:t>mg/m</w:t>
            </w:r>
            <w:r>
              <w:rPr>
                <w:rFonts w:eastAsia="宋体"/>
                <w:sz w:val="22"/>
                <w:vertAlign w:val="superscript"/>
              </w:rPr>
              <w:t>3</w:t>
            </w:r>
            <w:r>
              <w:rPr>
                <w:rFonts w:hint="eastAsia" w:eastAsia="宋体"/>
                <w:sz w:val="22"/>
              </w:rPr>
              <w:t>)</w:t>
            </w:r>
          </w:p>
        </w:tc>
        <w:tc>
          <w:tcPr>
            <w:tcW w:w="1684" w:type="dxa"/>
            <w:vMerge w:val="restart"/>
            <w:vAlign w:val="center"/>
          </w:tcPr>
          <w:p>
            <w:pPr>
              <w:adjustRightInd/>
              <w:snapToGrid/>
              <w:spacing w:line="240" w:lineRule="auto"/>
              <w:jc w:val="center"/>
              <w:rPr>
                <w:rFonts w:eastAsia="宋体"/>
                <w:sz w:val="22"/>
              </w:rPr>
            </w:pPr>
            <w:r>
              <w:rPr>
                <w:rFonts w:eastAsia="宋体"/>
                <w:sz w:val="22"/>
              </w:rPr>
              <w:t>厂界最大值</w:t>
            </w:r>
          </w:p>
        </w:tc>
        <w:tc>
          <w:tcPr>
            <w:tcW w:w="1525" w:type="dxa"/>
            <w:vMerge w:val="restart"/>
            <w:vAlign w:val="center"/>
          </w:tcPr>
          <w:p>
            <w:pPr>
              <w:adjustRightInd/>
              <w:snapToGrid/>
              <w:spacing w:line="240" w:lineRule="auto"/>
              <w:jc w:val="center"/>
              <w:rPr>
                <w:rFonts w:eastAsia="宋体"/>
                <w:sz w:val="22"/>
              </w:rPr>
            </w:pPr>
            <w:r>
              <w:rPr>
                <w:rFonts w:hint="eastAsia" w:eastAsia="宋体"/>
                <w:sz w:val="22"/>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2"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adjustRightInd/>
              <w:snapToGrid/>
              <w:spacing w:line="240" w:lineRule="auto"/>
              <w:jc w:val="center"/>
              <w:rPr>
                <w:rFonts w:eastAsia="宋体"/>
                <w:sz w:val="22"/>
              </w:rPr>
            </w:pPr>
          </w:p>
        </w:tc>
        <w:tc>
          <w:tcPr>
            <w:tcW w:w="2646" w:type="dxa"/>
            <w:gridSpan w:val="2"/>
            <w:vMerge w:val="continue"/>
            <w:vAlign w:val="center"/>
          </w:tcPr>
          <w:p>
            <w:pPr>
              <w:adjustRightInd/>
              <w:snapToGrid/>
              <w:spacing w:line="240" w:lineRule="auto"/>
              <w:jc w:val="center"/>
              <w:rPr>
                <w:rFonts w:eastAsia="宋体"/>
                <w:sz w:val="22"/>
              </w:rPr>
            </w:pPr>
          </w:p>
        </w:tc>
        <w:tc>
          <w:tcPr>
            <w:tcW w:w="1594" w:type="dxa"/>
            <w:vAlign w:val="center"/>
          </w:tcPr>
          <w:p>
            <w:pPr>
              <w:adjustRightInd/>
              <w:snapToGrid/>
              <w:spacing w:line="240" w:lineRule="auto"/>
              <w:jc w:val="center"/>
              <w:rPr>
                <w:rFonts w:eastAsia="宋体"/>
                <w:sz w:val="22"/>
              </w:rPr>
            </w:pPr>
            <w:r>
              <w:rPr>
                <w:rFonts w:hint="eastAsia" w:eastAsia="宋体"/>
                <w:sz w:val="22"/>
              </w:rPr>
              <w:t>1#上风向</w:t>
            </w:r>
          </w:p>
        </w:tc>
        <w:tc>
          <w:tcPr>
            <w:tcW w:w="1594" w:type="dxa"/>
            <w:vAlign w:val="center"/>
          </w:tcPr>
          <w:p>
            <w:pPr>
              <w:adjustRightInd/>
              <w:snapToGrid/>
              <w:spacing w:line="240" w:lineRule="auto"/>
              <w:jc w:val="center"/>
              <w:rPr>
                <w:rFonts w:eastAsia="宋体"/>
                <w:sz w:val="22"/>
              </w:rPr>
            </w:pPr>
            <w:r>
              <w:rPr>
                <w:rFonts w:hint="eastAsia" w:eastAsia="宋体"/>
                <w:sz w:val="22"/>
              </w:rPr>
              <w:t>2#下风向</w:t>
            </w:r>
          </w:p>
        </w:tc>
        <w:tc>
          <w:tcPr>
            <w:tcW w:w="1594" w:type="dxa"/>
            <w:vAlign w:val="center"/>
          </w:tcPr>
          <w:p>
            <w:pPr>
              <w:adjustRightInd/>
              <w:snapToGrid/>
              <w:spacing w:line="240" w:lineRule="auto"/>
              <w:jc w:val="center"/>
              <w:rPr>
                <w:rFonts w:eastAsia="宋体"/>
                <w:sz w:val="22"/>
              </w:rPr>
            </w:pPr>
            <w:r>
              <w:rPr>
                <w:rFonts w:hint="eastAsia" w:eastAsia="宋体"/>
                <w:sz w:val="22"/>
              </w:rPr>
              <w:t>3#下风向</w:t>
            </w:r>
          </w:p>
        </w:tc>
        <w:tc>
          <w:tcPr>
            <w:tcW w:w="1594" w:type="dxa"/>
            <w:vAlign w:val="center"/>
          </w:tcPr>
          <w:p>
            <w:pPr>
              <w:adjustRightInd/>
              <w:snapToGrid/>
              <w:spacing w:line="240" w:lineRule="auto"/>
              <w:jc w:val="center"/>
              <w:rPr>
                <w:rFonts w:eastAsia="宋体"/>
                <w:sz w:val="22"/>
              </w:rPr>
            </w:pPr>
            <w:r>
              <w:rPr>
                <w:rFonts w:hint="eastAsia" w:eastAsia="宋体"/>
                <w:sz w:val="22"/>
              </w:rPr>
              <w:t>4#下风向</w:t>
            </w:r>
          </w:p>
        </w:tc>
        <w:tc>
          <w:tcPr>
            <w:tcW w:w="1684" w:type="dxa"/>
            <w:vMerge w:val="continue"/>
            <w:vAlign w:val="center"/>
          </w:tcPr>
          <w:p>
            <w:pPr>
              <w:adjustRightInd/>
              <w:snapToGrid/>
              <w:spacing w:line="240" w:lineRule="auto"/>
              <w:jc w:val="center"/>
              <w:rPr>
                <w:rFonts w:eastAsia="宋体"/>
                <w:sz w:val="22"/>
              </w:rPr>
            </w:pPr>
          </w:p>
        </w:tc>
        <w:tc>
          <w:tcPr>
            <w:tcW w:w="1525" w:type="dxa"/>
            <w:vMerge w:val="continue"/>
            <w:vAlign w:val="center"/>
          </w:tcPr>
          <w:p>
            <w:pPr>
              <w:adjustRightInd/>
              <w:snapToGrid/>
              <w:spacing w:line="240" w:lineRule="auto"/>
              <w:jc w:val="center"/>
              <w:rPr>
                <w:rFonts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restart"/>
            <w:vAlign w:val="center"/>
          </w:tcPr>
          <w:p>
            <w:pPr>
              <w:adjustRightInd/>
              <w:snapToGrid/>
              <w:spacing w:line="240" w:lineRule="auto"/>
              <w:jc w:val="center"/>
              <w:rPr>
                <w:rFonts w:eastAsia="宋体"/>
                <w:sz w:val="22"/>
              </w:rPr>
            </w:pPr>
            <w:r>
              <w:rPr>
                <w:rFonts w:hint="eastAsia" w:eastAsia="宋体"/>
                <w:sz w:val="22"/>
              </w:rPr>
              <w:t>厂</w:t>
            </w:r>
          </w:p>
          <w:p>
            <w:pPr>
              <w:adjustRightInd/>
              <w:snapToGrid/>
              <w:spacing w:line="240" w:lineRule="auto"/>
              <w:jc w:val="center"/>
              <w:rPr>
                <w:rFonts w:eastAsia="宋体"/>
                <w:sz w:val="22"/>
              </w:rPr>
            </w:pPr>
            <w:r>
              <w:rPr>
                <w:rFonts w:hint="eastAsia" w:eastAsia="宋体"/>
                <w:sz w:val="22"/>
              </w:rPr>
              <w:t>界</w:t>
            </w:r>
          </w:p>
          <w:p>
            <w:pPr>
              <w:adjustRightInd/>
              <w:snapToGrid/>
              <w:spacing w:line="240" w:lineRule="auto"/>
              <w:jc w:val="center"/>
              <w:rPr>
                <w:rFonts w:eastAsia="宋体"/>
                <w:sz w:val="22"/>
              </w:rPr>
            </w:pPr>
            <w:r>
              <w:rPr>
                <w:rFonts w:hint="eastAsia" w:eastAsia="宋体"/>
                <w:sz w:val="22"/>
              </w:rPr>
              <w:t>无</w:t>
            </w:r>
          </w:p>
          <w:p>
            <w:pPr>
              <w:adjustRightInd/>
              <w:snapToGrid/>
              <w:spacing w:line="240" w:lineRule="auto"/>
              <w:jc w:val="center"/>
              <w:rPr>
                <w:rFonts w:eastAsia="宋体"/>
                <w:sz w:val="22"/>
              </w:rPr>
            </w:pPr>
            <w:r>
              <w:rPr>
                <w:rFonts w:hint="eastAsia" w:eastAsia="宋体"/>
                <w:sz w:val="22"/>
              </w:rPr>
              <w:t>组</w:t>
            </w:r>
          </w:p>
          <w:p>
            <w:pPr>
              <w:adjustRightInd/>
              <w:snapToGrid/>
              <w:spacing w:line="240" w:lineRule="auto"/>
              <w:jc w:val="center"/>
              <w:rPr>
                <w:rFonts w:eastAsia="宋体"/>
                <w:sz w:val="22"/>
              </w:rPr>
            </w:pPr>
            <w:r>
              <w:rPr>
                <w:rFonts w:hint="eastAsia" w:eastAsia="宋体"/>
                <w:sz w:val="22"/>
              </w:rPr>
              <w:t>织</w:t>
            </w:r>
          </w:p>
        </w:tc>
        <w:tc>
          <w:tcPr>
            <w:tcW w:w="1566"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颗粒物</w:t>
            </w:r>
          </w:p>
        </w:tc>
        <w:tc>
          <w:tcPr>
            <w:tcW w:w="1322"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2017.12.21</w:t>
            </w:r>
          </w:p>
        </w:tc>
        <w:tc>
          <w:tcPr>
            <w:tcW w:w="1324" w:type="dxa"/>
            <w:vAlign w:val="center"/>
          </w:tcPr>
          <w:p>
            <w:pPr>
              <w:adjustRightInd/>
              <w:snapToGrid/>
              <w:spacing w:line="240" w:lineRule="auto"/>
              <w:jc w:val="center"/>
              <w:rPr>
                <w:rFonts w:eastAsia="宋体"/>
                <w:color w:val="000000"/>
                <w:sz w:val="22"/>
              </w:rPr>
            </w:pPr>
            <w:r>
              <w:rPr>
                <w:rFonts w:hint="eastAsia" w:eastAsia="宋体"/>
                <w:color w:val="000000"/>
                <w:sz w:val="22"/>
              </w:rPr>
              <w:t>10</w:t>
            </w:r>
            <w:r>
              <w:rPr>
                <w:rFonts w:eastAsia="宋体"/>
                <w:color w:val="000000"/>
                <w:sz w:val="22"/>
              </w:rPr>
              <w:t>:00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0.321</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0.390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0.443</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0.382</w:t>
            </w:r>
          </w:p>
        </w:tc>
        <w:tc>
          <w:tcPr>
            <w:tcW w:w="1684"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0.506</w:t>
            </w:r>
          </w:p>
        </w:tc>
        <w:tc>
          <w:tcPr>
            <w:tcW w:w="1525"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widowControl/>
              <w:adjustRightInd/>
              <w:snapToGrid/>
              <w:spacing w:line="240" w:lineRule="auto"/>
              <w:jc w:val="center"/>
              <w:rPr>
                <w:rFonts w:hAnsi="宋体" w:eastAsia="宋体"/>
                <w:sz w:val="22"/>
              </w:rPr>
            </w:pPr>
          </w:p>
        </w:tc>
        <w:tc>
          <w:tcPr>
            <w:tcW w:w="1322" w:type="dxa"/>
            <w:vMerge w:val="continue"/>
            <w:vAlign w:val="center"/>
          </w:tcPr>
          <w:p>
            <w:pPr>
              <w:adjustRightInd/>
              <w:snapToGrid/>
              <w:spacing w:line="240" w:lineRule="auto"/>
              <w:jc w:val="center"/>
              <w:rPr>
                <w:rFonts w:eastAsia="宋体"/>
                <w:color w:val="000000"/>
                <w:sz w:val="22"/>
              </w:rPr>
            </w:pPr>
          </w:p>
        </w:tc>
        <w:tc>
          <w:tcPr>
            <w:tcW w:w="1324" w:type="dxa"/>
            <w:vAlign w:val="center"/>
          </w:tcPr>
          <w:p>
            <w:pPr>
              <w:adjustRightInd/>
              <w:snapToGrid/>
              <w:spacing w:line="240" w:lineRule="auto"/>
              <w:jc w:val="center"/>
              <w:rPr>
                <w:rFonts w:eastAsia="宋体"/>
                <w:color w:val="000000"/>
                <w:sz w:val="22"/>
              </w:rPr>
            </w:pPr>
            <w:r>
              <w:rPr>
                <w:rFonts w:eastAsia="宋体"/>
                <w:color w:val="000000"/>
                <w:sz w:val="22"/>
              </w:rPr>
              <w:t>1</w:t>
            </w:r>
            <w:r>
              <w:rPr>
                <w:rFonts w:hint="eastAsia" w:eastAsia="宋体"/>
                <w:color w:val="000000"/>
                <w:sz w:val="22"/>
              </w:rPr>
              <w:t>4</w:t>
            </w:r>
            <w:r>
              <w:rPr>
                <w:rFonts w:eastAsia="宋体"/>
                <w:color w:val="000000"/>
                <w:sz w:val="22"/>
              </w:rPr>
              <w:t>:00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0.335</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0.428</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0.470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0.431</w:t>
            </w:r>
          </w:p>
        </w:tc>
        <w:tc>
          <w:tcPr>
            <w:tcW w:w="1684" w:type="dxa"/>
            <w:vMerge w:val="continue"/>
            <w:vAlign w:val="center"/>
          </w:tcPr>
          <w:p>
            <w:pPr>
              <w:widowControl/>
              <w:adjustRightInd/>
              <w:snapToGrid/>
              <w:spacing w:line="240" w:lineRule="auto"/>
              <w:jc w:val="center"/>
              <w:rPr>
                <w:rFonts w:hAnsi="宋体" w:eastAsia="宋体"/>
                <w:sz w:val="22"/>
              </w:rPr>
            </w:pPr>
          </w:p>
        </w:tc>
        <w:tc>
          <w:tcPr>
            <w:tcW w:w="1525" w:type="dxa"/>
            <w:vMerge w:val="continue"/>
            <w:vAlign w:val="center"/>
          </w:tcPr>
          <w:p>
            <w:pPr>
              <w:widowControl/>
              <w:adjustRightInd/>
              <w:snapToGrid/>
              <w:spacing w:line="240" w:lineRule="auto"/>
              <w:jc w:val="center"/>
              <w:rPr>
                <w:rFonts w:hAnsi="宋体"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widowControl/>
              <w:adjustRightInd/>
              <w:snapToGrid/>
              <w:spacing w:line="240" w:lineRule="auto"/>
              <w:jc w:val="center"/>
              <w:rPr>
                <w:rFonts w:hAnsi="宋体" w:eastAsia="宋体"/>
                <w:sz w:val="22"/>
              </w:rPr>
            </w:pPr>
          </w:p>
        </w:tc>
        <w:tc>
          <w:tcPr>
            <w:tcW w:w="1322" w:type="dxa"/>
            <w:vMerge w:val="continue"/>
            <w:vAlign w:val="center"/>
          </w:tcPr>
          <w:p>
            <w:pPr>
              <w:adjustRightInd/>
              <w:snapToGrid/>
              <w:spacing w:line="240" w:lineRule="auto"/>
              <w:jc w:val="center"/>
              <w:rPr>
                <w:rFonts w:eastAsia="宋体"/>
                <w:color w:val="000000"/>
                <w:sz w:val="22"/>
              </w:rPr>
            </w:pPr>
          </w:p>
        </w:tc>
        <w:tc>
          <w:tcPr>
            <w:tcW w:w="1324" w:type="dxa"/>
            <w:vAlign w:val="center"/>
          </w:tcPr>
          <w:p>
            <w:pPr>
              <w:adjustRightInd/>
              <w:snapToGrid/>
              <w:spacing w:line="240" w:lineRule="auto"/>
              <w:jc w:val="center"/>
              <w:rPr>
                <w:rFonts w:eastAsia="宋体"/>
                <w:color w:val="000000"/>
                <w:sz w:val="22"/>
              </w:rPr>
            </w:pPr>
            <w:r>
              <w:rPr>
                <w:rFonts w:eastAsia="宋体"/>
                <w:color w:val="000000"/>
                <w:sz w:val="22"/>
              </w:rPr>
              <w:t>16:00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0.343</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0.392</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0.415</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0.506</w:t>
            </w:r>
          </w:p>
        </w:tc>
        <w:tc>
          <w:tcPr>
            <w:tcW w:w="1684" w:type="dxa"/>
            <w:vMerge w:val="continue"/>
            <w:vAlign w:val="center"/>
          </w:tcPr>
          <w:p>
            <w:pPr>
              <w:widowControl/>
              <w:adjustRightInd/>
              <w:snapToGrid/>
              <w:spacing w:line="240" w:lineRule="auto"/>
              <w:jc w:val="center"/>
              <w:rPr>
                <w:rFonts w:hAnsi="宋体" w:eastAsia="宋体"/>
                <w:sz w:val="22"/>
              </w:rPr>
            </w:pPr>
          </w:p>
        </w:tc>
        <w:tc>
          <w:tcPr>
            <w:tcW w:w="1525" w:type="dxa"/>
            <w:vMerge w:val="continue"/>
            <w:vAlign w:val="center"/>
          </w:tcPr>
          <w:p>
            <w:pPr>
              <w:widowControl/>
              <w:adjustRightInd/>
              <w:snapToGrid/>
              <w:spacing w:line="240" w:lineRule="auto"/>
              <w:jc w:val="center"/>
              <w:rPr>
                <w:rFonts w:hAnsi="宋体"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widowControl/>
              <w:adjustRightInd/>
              <w:snapToGrid/>
              <w:spacing w:line="240" w:lineRule="auto"/>
              <w:jc w:val="center"/>
              <w:rPr>
                <w:rFonts w:hAnsi="宋体" w:eastAsia="宋体"/>
                <w:sz w:val="22"/>
              </w:rPr>
            </w:pPr>
          </w:p>
        </w:tc>
        <w:tc>
          <w:tcPr>
            <w:tcW w:w="1322"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2017.12.22</w:t>
            </w:r>
          </w:p>
        </w:tc>
        <w:tc>
          <w:tcPr>
            <w:tcW w:w="1324" w:type="dxa"/>
            <w:vAlign w:val="center"/>
          </w:tcPr>
          <w:p>
            <w:pPr>
              <w:adjustRightInd/>
              <w:snapToGrid/>
              <w:spacing w:line="240" w:lineRule="auto"/>
              <w:jc w:val="center"/>
              <w:rPr>
                <w:rFonts w:eastAsia="宋体"/>
                <w:color w:val="000000"/>
                <w:sz w:val="22"/>
              </w:rPr>
            </w:pPr>
            <w:r>
              <w:rPr>
                <w:rFonts w:hint="eastAsia" w:eastAsia="宋体"/>
                <w:color w:val="000000"/>
                <w:sz w:val="22"/>
              </w:rPr>
              <w:t>10</w:t>
            </w:r>
            <w:r>
              <w:rPr>
                <w:rFonts w:eastAsia="宋体"/>
                <w:color w:val="000000"/>
                <w:sz w:val="22"/>
              </w:rPr>
              <w:t>:00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0.337</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0.417</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0.378</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0.405</w:t>
            </w:r>
          </w:p>
        </w:tc>
        <w:tc>
          <w:tcPr>
            <w:tcW w:w="1684"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0.431</w:t>
            </w:r>
          </w:p>
        </w:tc>
        <w:tc>
          <w:tcPr>
            <w:tcW w:w="1525" w:type="dxa"/>
            <w:vMerge w:val="continue"/>
            <w:vAlign w:val="center"/>
          </w:tcPr>
          <w:p>
            <w:pPr>
              <w:widowControl/>
              <w:adjustRightInd/>
              <w:snapToGrid/>
              <w:spacing w:line="240" w:lineRule="auto"/>
              <w:jc w:val="center"/>
              <w:rPr>
                <w:rFonts w:hAnsi="宋体"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widowControl/>
              <w:adjustRightInd/>
              <w:snapToGrid/>
              <w:spacing w:line="240" w:lineRule="auto"/>
              <w:jc w:val="center"/>
              <w:rPr>
                <w:rFonts w:hAnsi="宋体" w:eastAsia="宋体"/>
                <w:sz w:val="22"/>
              </w:rPr>
            </w:pPr>
          </w:p>
        </w:tc>
        <w:tc>
          <w:tcPr>
            <w:tcW w:w="1322" w:type="dxa"/>
            <w:vMerge w:val="continue"/>
            <w:vAlign w:val="center"/>
          </w:tcPr>
          <w:p>
            <w:pPr>
              <w:adjustRightInd/>
              <w:snapToGrid/>
              <w:spacing w:line="240" w:lineRule="auto"/>
              <w:jc w:val="center"/>
              <w:rPr>
                <w:rFonts w:eastAsia="宋体"/>
                <w:color w:val="000000"/>
                <w:sz w:val="22"/>
              </w:rPr>
            </w:pPr>
          </w:p>
        </w:tc>
        <w:tc>
          <w:tcPr>
            <w:tcW w:w="1324" w:type="dxa"/>
            <w:vAlign w:val="center"/>
          </w:tcPr>
          <w:p>
            <w:pPr>
              <w:adjustRightInd/>
              <w:snapToGrid/>
              <w:spacing w:line="240" w:lineRule="auto"/>
              <w:jc w:val="center"/>
              <w:rPr>
                <w:rFonts w:eastAsia="宋体"/>
                <w:color w:val="000000"/>
                <w:sz w:val="22"/>
              </w:rPr>
            </w:pPr>
            <w:r>
              <w:rPr>
                <w:rFonts w:eastAsia="宋体"/>
                <w:color w:val="000000"/>
                <w:sz w:val="22"/>
              </w:rPr>
              <w:t>1</w:t>
            </w:r>
            <w:r>
              <w:rPr>
                <w:rFonts w:hint="eastAsia" w:eastAsia="宋体"/>
                <w:color w:val="000000"/>
                <w:sz w:val="22"/>
              </w:rPr>
              <w:t>4</w:t>
            </w:r>
            <w:r>
              <w:rPr>
                <w:rFonts w:eastAsia="宋体"/>
                <w:color w:val="000000"/>
                <w:sz w:val="22"/>
              </w:rPr>
              <w:t>:00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0.292</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0.350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0.326</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0.373</w:t>
            </w:r>
          </w:p>
        </w:tc>
        <w:tc>
          <w:tcPr>
            <w:tcW w:w="1684" w:type="dxa"/>
            <w:vMerge w:val="continue"/>
            <w:vAlign w:val="center"/>
          </w:tcPr>
          <w:p>
            <w:pPr>
              <w:widowControl/>
              <w:adjustRightInd/>
              <w:snapToGrid/>
              <w:spacing w:line="240" w:lineRule="auto"/>
              <w:jc w:val="center"/>
              <w:rPr>
                <w:rFonts w:hAnsi="宋体" w:eastAsia="宋体"/>
                <w:sz w:val="22"/>
              </w:rPr>
            </w:pPr>
          </w:p>
        </w:tc>
        <w:tc>
          <w:tcPr>
            <w:tcW w:w="1525" w:type="dxa"/>
            <w:vMerge w:val="continue"/>
            <w:vAlign w:val="center"/>
          </w:tcPr>
          <w:p>
            <w:pPr>
              <w:widowControl/>
              <w:adjustRightInd/>
              <w:snapToGrid/>
              <w:spacing w:line="240" w:lineRule="auto"/>
              <w:jc w:val="center"/>
              <w:rPr>
                <w:rFonts w:hAnsi="宋体"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widowControl/>
              <w:adjustRightInd/>
              <w:snapToGrid/>
              <w:spacing w:line="240" w:lineRule="auto"/>
              <w:jc w:val="center"/>
              <w:rPr>
                <w:rFonts w:hAnsi="宋体" w:eastAsia="宋体"/>
                <w:sz w:val="22"/>
              </w:rPr>
            </w:pPr>
          </w:p>
        </w:tc>
        <w:tc>
          <w:tcPr>
            <w:tcW w:w="1322" w:type="dxa"/>
            <w:vMerge w:val="continue"/>
            <w:vAlign w:val="center"/>
          </w:tcPr>
          <w:p>
            <w:pPr>
              <w:adjustRightInd/>
              <w:snapToGrid/>
              <w:spacing w:line="240" w:lineRule="auto"/>
              <w:jc w:val="center"/>
              <w:rPr>
                <w:rFonts w:eastAsia="宋体"/>
                <w:color w:val="000000"/>
                <w:sz w:val="22"/>
              </w:rPr>
            </w:pPr>
          </w:p>
        </w:tc>
        <w:tc>
          <w:tcPr>
            <w:tcW w:w="1324" w:type="dxa"/>
            <w:vAlign w:val="center"/>
          </w:tcPr>
          <w:p>
            <w:pPr>
              <w:adjustRightInd/>
              <w:snapToGrid/>
              <w:spacing w:line="240" w:lineRule="auto"/>
              <w:jc w:val="center"/>
              <w:rPr>
                <w:rFonts w:eastAsia="宋体"/>
                <w:color w:val="000000"/>
                <w:sz w:val="22"/>
              </w:rPr>
            </w:pPr>
            <w:r>
              <w:rPr>
                <w:rFonts w:eastAsia="宋体"/>
                <w:color w:val="000000"/>
                <w:sz w:val="22"/>
              </w:rPr>
              <w:t>16:00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0.320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0.374</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0.431</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0.382</w:t>
            </w:r>
          </w:p>
        </w:tc>
        <w:tc>
          <w:tcPr>
            <w:tcW w:w="1684" w:type="dxa"/>
            <w:vMerge w:val="continue"/>
            <w:vAlign w:val="center"/>
          </w:tcPr>
          <w:p>
            <w:pPr>
              <w:widowControl/>
              <w:adjustRightInd/>
              <w:snapToGrid/>
              <w:spacing w:line="240" w:lineRule="auto"/>
              <w:jc w:val="center"/>
              <w:rPr>
                <w:rFonts w:hAnsi="宋体" w:eastAsia="宋体"/>
                <w:sz w:val="22"/>
              </w:rPr>
            </w:pPr>
          </w:p>
        </w:tc>
        <w:tc>
          <w:tcPr>
            <w:tcW w:w="1525" w:type="dxa"/>
            <w:vMerge w:val="continue"/>
            <w:vAlign w:val="center"/>
          </w:tcPr>
          <w:p>
            <w:pPr>
              <w:widowControl/>
              <w:adjustRightInd/>
              <w:snapToGrid/>
              <w:spacing w:line="240" w:lineRule="auto"/>
              <w:jc w:val="center"/>
              <w:rPr>
                <w:rFonts w:hAnsi="宋体"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非甲烷总烃</w:t>
            </w:r>
          </w:p>
        </w:tc>
        <w:tc>
          <w:tcPr>
            <w:tcW w:w="1322"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2017.12.21</w:t>
            </w:r>
          </w:p>
        </w:tc>
        <w:tc>
          <w:tcPr>
            <w:tcW w:w="1324" w:type="dxa"/>
            <w:vAlign w:val="center"/>
          </w:tcPr>
          <w:p>
            <w:pPr>
              <w:adjustRightInd/>
              <w:snapToGrid/>
              <w:spacing w:line="240" w:lineRule="auto"/>
              <w:jc w:val="center"/>
              <w:rPr>
                <w:rFonts w:eastAsia="宋体"/>
                <w:color w:val="000000"/>
                <w:sz w:val="22"/>
              </w:rPr>
            </w:pPr>
            <w:r>
              <w:rPr>
                <w:rFonts w:hint="eastAsia" w:eastAsia="宋体"/>
                <w:color w:val="000000"/>
                <w:sz w:val="22"/>
              </w:rPr>
              <w:t>10</w:t>
            </w:r>
            <w:r>
              <w:rPr>
                <w:rFonts w:eastAsia="宋体"/>
                <w:color w:val="000000"/>
                <w:sz w:val="22"/>
              </w:rPr>
              <w:t>:00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0.59</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0.62</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0.70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0.73</w:t>
            </w:r>
          </w:p>
        </w:tc>
        <w:tc>
          <w:tcPr>
            <w:tcW w:w="1684"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0.80</w:t>
            </w:r>
          </w:p>
        </w:tc>
        <w:tc>
          <w:tcPr>
            <w:tcW w:w="1525"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adjustRightInd/>
              <w:snapToGrid/>
              <w:spacing w:line="240" w:lineRule="auto"/>
              <w:jc w:val="center"/>
              <w:rPr>
                <w:rFonts w:eastAsia="宋体"/>
                <w:sz w:val="22"/>
              </w:rPr>
            </w:pPr>
          </w:p>
        </w:tc>
        <w:tc>
          <w:tcPr>
            <w:tcW w:w="1322" w:type="dxa"/>
            <w:vMerge w:val="continue"/>
            <w:vAlign w:val="center"/>
          </w:tcPr>
          <w:p>
            <w:pPr>
              <w:adjustRightInd/>
              <w:snapToGrid/>
              <w:spacing w:line="240" w:lineRule="auto"/>
              <w:jc w:val="center"/>
              <w:rPr>
                <w:rFonts w:eastAsia="宋体"/>
                <w:color w:val="000000"/>
                <w:sz w:val="22"/>
              </w:rPr>
            </w:pPr>
          </w:p>
        </w:tc>
        <w:tc>
          <w:tcPr>
            <w:tcW w:w="1324" w:type="dxa"/>
            <w:vAlign w:val="center"/>
          </w:tcPr>
          <w:p>
            <w:pPr>
              <w:adjustRightInd/>
              <w:snapToGrid/>
              <w:spacing w:line="240" w:lineRule="auto"/>
              <w:jc w:val="center"/>
              <w:rPr>
                <w:rFonts w:eastAsia="宋体"/>
                <w:color w:val="000000"/>
                <w:sz w:val="22"/>
              </w:rPr>
            </w:pPr>
            <w:r>
              <w:rPr>
                <w:rFonts w:eastAsia="宋体"/>
                <w:color w:val="000000"/>
                <w:sz w:val="22"/>
              </w:rPr>
              <w:t>1</w:t>
            </w:r>
            <w:r>
              <w:rPr>
                <w:rFonts w:hint="eastAsia" w:eastAsia="宋体"/>
                <w:color w:val="000000"/>
                <w:sz w:val="22"/>
              </w:rPr>
              <w:t>4</w:t>
            </w:r>
            <w:r>
              <w:rPr>
                <w:rFonts w:eastAsia="宋体"/>
                <w:color w:val="000000"/>
                <w:sz w:val="22"/>
              </w:rPr>
              <w:t>:00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0.54</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0.58</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0.61</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0.65</w:t>
            </w:r>
          </w:p>
        </w:tc>
        <w:tc>
          <w:tcPr>
            <w:tcW w:w="1684" w:type="dxa"/>
            <w:vMerge w:val="continue"/>
            <w:vAlign w:val="center"/>
          </w:tcPr>
          <w:p>
            <w:pPr>
              <w:widowControl/>
              <w:adjustRightInd/>
              <w:snapToGrid/>
              <w:spacing w:line="240" w:lineRule="auto"/>
              <w:jc w:val="center"/>
              <w:rPr>
                <w:rFonts w:hAnsi="宋体" w:eastAsia="宋体"/>
                <w:sz w:val="22"/>
              </w:rPr>
            </w:pPr>
          </w:p>
        </w:tc>
        <w:tc>
          <w:tcPr>
            <w:tcW w:w="1525" w:type="dxa"/>
            <w:vMerge w:val="continue"/>
            <w:vAlign w:val="center"/>
          </w:tcPr>
          <w:p>
            <w:pPr>
              <w:adjustRightInd/>
              <w:snapToGrid/>
              <w:spacing w:line="240" w:lineRule="auto"/>
              <w:jc w:val="center"/>
              <w:rPr>
                <w:rFonts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adjustRightInd/>
              <w:snapToGrid/>
              <w:spacing w:line="240" w:lineRule="auto"/>
              <w:jc w:val="center"/>
              <w:rPr>
                <w:rFonts w:eastAsia="宋体"/>
                <w:sz w:val="22"/>
              </w:rPr>
            </w:pPr>
          </w:p>
        </w:tc>
        <w:tc>
          <w:tcPr>
            <w:tcW w:w="1322" w:type="dxa"/>
            <w:vMerge w:val="continue"/>
            <w:vAlign w:val="center"/>
          </w:tcPr>
          <w:p>
            <w:pPr>
              <w:adjustRightInd/>
              <w:snapToGrid/>
              <w:spacing w:line="240" w:lineRule="auto"/>
              <w:jc w:val="center"/>
              <w:rPr>
                <w:rFonts w:eastAsia="宋体"/>
                <w:color w:val="000000"/>
                <w:sz w:val="22"/>
              </w:rPr>
            </w:pPr>
          </w:p>
        </w:tc>
        <w:tc>
          <w:tcPr>
            <w:tcW w:w="1324" w:type="dxa"/>
            <w:vAlign w:val="center"/>
          </w:tcPr>
          <w:p>
            <w:pPr>
              <w:adjustRightInd/>
              <w:snapToGrid/>
              <w:spacing w:line="240" w:lineRule="auto"/>
              <w:jc w:val="center"/>
              <w:rPr>
                <w:rFonts w:eastAsia="宋体"/>
                <w:color w:val="000000"/>
                <w:sz w:val="22"/>
              </w:rPr>
            </w:pPr>
            <w:r>
              <w:rPr>
                <w:rFonts w:eastAsia="宋体"/>
                <w:color w:val="000000"/>
                <w:sz w:val="22"/>
              </w:rPr>
              <w:t>16:00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0.61</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0.66</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0.72</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0.80</w:t>
            </w:r>
          </w:p>
        </w:tc>
        <w:tc>
          <w:tcPr>
            <w:tcW w:w="1684" w:type="dxa"/>
            <w:vMerge w:val="continue"/>
            <w:vAlign w:val="center"/>
          </w:tcPr>
          <w:p>
            <w:pPr>
              <w:widowControl/>
              <w:adjustRightInd/>
              <w:snapToGrid/>
              <w:spacing w:line="240" w:lineRule="auto"/>
              <w:jc w:val="center"/>
              <w:rPr>
                <w:rFonts w:hAnsi="宋体" w:eastAsia="宋体"/>
                <w:sz w:val="22"/>
              </w:rPr>
            </w:pPr>
          </w:p>
        </w:tc>
        <w:tc>
          <w:tcPr>
            <w:tcW w:w="1525" w:type="dxa"/>
            <w:vMerge w:val="continue"/>
            <w:vAlign w:val="center"/>
          </w:tcPr>
          <w:p>
            <w:pPr>
              <w:adjustRightInd/>
              <w:snapToGrid/>
              <w:spacing w:line="240" w:lineRule="auto"/>
              <w:jc w:val="center"/>
              <w:rPr>
                <w:rFonts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adjustRightInd/>
              <w:snapToGrid/>
              <w:spacing w:line="240" w:lineRule="auto"/>
              <w:jc w:val="center"/>
              <w:rPr>
                <w:rFonts w:eastAsia="宋体"/>
                <w:sz w:val="22"/>
              </w:rPr>
            </w:pPr>
          </w:p>
        </w:tc>
        <w:tc>
          <w:tcPr>
            <w:tcW w:w="1322"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2017.12.22</w:t>
            </w:r>
          </w:p>
        </w:tc>
        <w:tc>
          <w:tcPr>
            <w:tcW w:w="1324" w:type="dxa"/>
            <w:vAlign w:val="center"/>
          </w:tcPr>
          <w:p>
            <w:pPr>
              <w:adjustRightInd/>
              <w:snapToGrid/>
              <w:spacing w:line="240" w:lineRule="auto"/>
              <w:jc w:val="center"/>
              <w:rPr>
                <w:rFonts w:eastAsia="宋体"/>
                <w:color w:val="000000"/>
                <w:sz w:val="22"/>
              </w:rPr>
            </w:pPr>
            <w:r>
              <w:rPr>
                <w:rFonts w:hint="eastAsia" w:eastAsia="宋体"/>
                <w:color w:val="000000"/>
                <w:sz w:val="22"/>
              </w:rPr>
              <w:t>10</w:t>
            </w:r>
            <w:r>
              <w:rPr>
                <w:rFonts w:eastAsia="宋体"/>
                <w:color w:val="000000"/>
                <w:sz w:val="22"/>
              </w:rPr>
              <w:t>:00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0.53</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0.57</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0.63</w:t>
            </w:r>
          </w:p>
        </w:tc>
        <w:tc>
          <w:tcPr>
            <w:tcW w:w="1684" w:type="dxa"/>
            <w:vMerge w:val="restart"/>
            <w:vAlign w:val="center"/>
          </w:tcPr>
          <w:p>
            <w:pPr>
              <w:widowControl/>
              <w:adjustRightInd/>
              <w:snapToGrid/>
              <w:spacing w:line="240" w:lineRule="auto"/>
              <w:jc w:val="center"/>
              <w:rPr>
                <w:rFonts w:hAnsi="宋体" w:eastAsia="宋体"/>
                <w:sz w:val="22"/>
              </w:rPr>
            </w:pPr>
            <w:r>
              <w:rPr>
                <w:rFonts w:hint="eastAsia" w:hAnsi="宋体" w:eastAsia="宋体"/>
                <w:sz w:val="22"/>
              </w:rPr>
              <w:t>0.76</w:t>
            </w:r>
          </w:p>
        </w:tc>
        <w:tc>
          <w:tcPr>
            <w:tcW w:w="1525" w:type="dxa"/>
            <w:vMerge w:val="continue"/>
            <w:vAlign w:val="center"/>
          </w:tcPr>
          <w:p>
            <w:pPr>
              <w:adjustRightInd/>
              <w:snapToGrid/>
              <w:spacing w:line="240" w:lineRule="auto"/>
              <w:jc w:val="center"/>
              <w:rPr>
                <w:rFonts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adjustRightInd/>
              <w:snapToGrid/>
              <w:spacing w:line="240" w:lineRule="auto"/>
              <w:jc w:val="center"/>
              <w:rPr>
                <w:rFonts w:eastAsia="宋体"/>
                <w:sz w:val="22"/>
              </w:rPr>
            </w:pPr>
          </w:p>
        </w:tc>
        <w:tc>
          <w:tcPr>
            <w:tcW w:w="1322" w:type="dxa"/>
            <w:vMerge w:val="continue"/>
            <w:vAlign w:val="center"/>
          </w:tcPr>
          <w:p>
            <w:pPr>
              <w:adjustRightInd/>
              <w:snapToGrid/>
              <w:spacing w:line="240" w:lineRule="auto"/>
              <w:jc w:val="center"/>
              <w:rPr>
                <w:rFonts w:eastAsia="宋体"/>
                <w:color w:val="000000"/>
                <w:sz w:val="22"/>
              </w:rPr>
            </w:pPr>
          </w:p>
        </w:tc>
        <w:tc>
          <w:tcPr>
            <w:tcW w:w="1324" w:type="dxa"/>
            <w:vAlign w:val="center"/>
          </w:tcPr>
          <w:p>
            <w:pPr>
              <w:adjustRightInd/>
              <w:snapToGrid/>
              <w:spacing w:line="240" w:lineRule="auto"/>
              <w:jc w:val="center"/>
              <w:rPr>
                <w:rFonts w:eastAsia="宋体"/>
                <w:color w:val="000000"/>
                <w:sz w:val="22"/>
              </w:rPr>
            </w:pPr>
            <w:r>
              <w:rPr>
                <w:rFonts w:eastAsia="宋体"/>
                <w:color w:val="000000"/>
                <w:sz w:val="22"/>
              </w:rPr>
              <w:t>1</w:t>
            </w:r>
            <w:r>
              <w:rPr>
                <w:rFonts w:hint="eastAsia" w:eastAsia="宋体"/>
                <w:color w:val="000000"/>
                <w:sz w:val="22"/>
              </w:rPr>
              <w:t>4</w:t>
            </w:r>
            <w:r>
              <w:rPr>
                <w:rFonts w:eastAsia="宋体"/>
                <w:color w:val="000000"/>
                <w:sz w:val="22"/>
              </w:rPr>
              <w:t>:00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0.56</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0.64</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0.65</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0.70</w:t>
            </w:r>
          </w:p>
        </w:tc>
        <w:tc>
          <w:tcPr>
            <w:tcW w:w="1684" w:type="dxa"/>
            <w:vMerge w:val="continue"/>
            <w:vAlign w:val="center"/>
          </w:tcPr>
          <w:p>
            <w:pPr>
              <w:adjustRightInd/>
              <w:snapToGrid/>
              <w:spacing w:line="240" w:lineRule="auto"/>
              <w:jc w:val="center"/>
              <w:rPr>
                <w:rFonts w:eastAsia="宋体"/>
                <w:sz w:val="22"/>
              </w:rPr>
            </w:pPr>
          </w:p>
        </w:tc>
        <w:tc>
          <w:tcPr>
            <w:tcW w:w="1525" w:type="dxa"/>
            <w:vMerge w:val="continue"/>
            <w:vAlign w:val="center"/>
          </w:tcPr>
          <w:p>
            <w:pPr>
              <w:adjustRightInd/>
              <w:snapToGrid/>
              <w:spacing w:line="240" w:lineRule="auto"/>
              <w:jc w:val="center"/>
              <w:rPr>
                <w:rFonts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1188" w:type="dxa"/>
            <w:vMerge w:val="continue"/>
            <w:vAlign w:val="center"/>
          </w:tcPr>
          <w:p>
            <w:pPr>
              <w:adjustRightInd/>
              <w:snapToGrid/>
              <w:spacing w:line="240" w:lineRule="auto"/>
              <w:jc w:val="center"/>
              <w:rPr>
                <w:rFonts w:eastAsia="宋体"/>
                <w:sz w:val="22"/>
              </w:rPr>
            </w:pPr>
          </w:p>
        </w:tc>
        <w:tc>
          <w:tcPr>
            <w:tcW w:w="1566" w:type="dxa"/>
            <w:vMerge w:val="continue"/>
            <w:vAlign w:val="center"/>
          </w:tcPr>
          <w:p>
            <w:pPr>
              <w:adjustRightInd/>
              <w:snapToGrid/>
              <w:spacing w:line="240" w:lineRule="auto"/>
              <w:jc w:val="center"/>
              <w:rPr>
                <w:rFonts w:eastAsia="宋体"/>
                <w:sz w:val="22"/>
              </w:rPr>
            </w:pPr>
          </w:p>
        </w:tc>
        <w:tc>
          <w:tcPr>
            <w:tcW w:w="1322" w:type="dxa"/>
            <w:vMerge w:val="continue"/>
            <w:vAlign w:val="center"/>
          </w:tcPr>
          <w:p>
            <w:pPr>
              <w:adjustRightInd/>
              <w:snapToGrid/>
              <w:spacing w:line="240" w:lineRule="auto"/>
              <w:jc w:val="center"/>
              <w:rPr>
                <w:rFonts w:eastAsia="宋体"/>
                <w:color w:val="000000"/>
                <w:sz w:val="22"/>
              </w:rPr>
            </w:pPr>
          </w:p>
        </w:tc>
        <w:tc>
          <w:tcPr>
            <w:tcW w:w="1324" w:type="dxa"/>
            <w:vAlign w:val="center"/>
          </w:tcPr>
          <w:p>
            <w:pPr>
              <w:adjustRightInd/>
              <w:snapToGrid/>
              <w:spacing w:line="240" w:lineRule="auto"/>
              <w:jc w:val="center"/>
              <w:rPr>
                <w:rFonts w:eastAsia="宋体"/>
                <w:color w:val="000000"/>
                <w:sz w:val="22"/>
              </w:rPr>
            </w:pPr>
            <w:r>
              <w:rPr>
                <w:rFonts w:eastAsia="宋体"/>
                <w:color w:val="000000"/>
                <w:sz w:val="22"/>
              </w:rPr>
              <w:t>16:00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0.60</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0.68</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0.76</w:t>
            </w:r>
          </w:p>
        </w:tc>
        <w:tc>
          <w:tcPr>
            <w:tcW w:w="1594" w:type="dxa"/>
            <w:vAlign w:val="center"/>
          </w:tcPr>
          <w:p>
            <w:pPr>
              <w:adjustRightInd/>
              <w:snapToGrid/>
              <w:spacing w:line="240" w:lineRule="auto"/>
              <w:jc w:val="center"/>
              <w:rPr>
                <w:rFonts w:ascii="宋体" w:hAnsi="宋体" w:eastAsia="宋体" w:cs="宋体"/>
                <w:color w:val="000000"/>
                <w:sz w:val="22"/>
              </w:rPr>
            </w:pPr>
            <w:r>
              <w:rPr>
                <w:rFonts w:hint="eastAsia" w:eastAsia="宋体"/>
                <w:color w:val="000000"/>
                <w:sz w:val="22"/>
              </w:rPr>
              <w:t>0.72</w:t>
            </w:r>
          </w:p>
        </w:tc>
        <w:tc>
          <w:tcPr>
            <w:tcW w:w="1684" w:type="dxa"/>
            <w:vMerge w:val="continue"/>
            <w:vAlign w:val="center"/>
          </w:tcPr>
          <w:p>
            <w:pPr>
              <w:adjustRightInd/>
              <w:snapToGrid/>
              <w:spacing w:line="240" w:lineRule="auto"/>
              <w:jc w:val="center"/>
              <w:rPr>
                <w:rFonts w:eastAsia="宋体"/>
                <w:sz w:val="22"/>
              </w:rPr>
            </w:pPr>
          </w:p>
        </w:tc>
        <w:tc>
          <w:tcPr>
            <w:tcW w:w="1525" w:type="dxa"/>
            <w:vMerge w:val="continue"/>
            <w:vAlign w:val="center"/>
          </w:tcPr>
          <w:p>
            <w:pPr>
              <w:adjustRightInd/>
              <w:snapToGrid/>
              <w:spacing w:line="240" w:lineRule="auto"/>
              <w:jc w:val="center"/>
              <w:rPr>
                <w:rFonts w:eastAsia="宋体"/>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81" w:hRule="atLeast"/>
          <w:jc w:val="center"/>
        </w:trPr>
        <w:tc>
          <w:tcPr>
            <w:tcW w:w="14985" w:type="dxa"/>
            <w:gridSpan w:val="10"/>
          </w:tcPr>
          <w:p>
            <w:pPr>
              <w:adjustRightInd/>
              <w:snapToGrid/>
              <w:spacing w:line="240" w:lineRule="auto"/>
              <w:ind w:left="330" w:hanging="330" w:hangingChars="150"/>
              <w:jc w:val="left"/>
              <w:rPr>
                <w:rFonts w:eastAsia="宋体"/>
                <w:sz w:val="22"/>
              </w:rPr>
            </w:pPr>
            <w:r>
              <w:rPr>
                <w:rFonts w:hint="eastAsia" w:eastAsia="宋体"/>
                <w:sz w:val="22"/>
              </w:rPr>
              <w:t>备注：无组织颗粒物、非甲烷总烃排放执行《大气污染物综合排放标准》</w:t>
            </w:r>
            <w:r>
              <w:rPr>
                <w:rFonts w:eastAsia="宋体"/>
                <w:sz w:val="22"/>
              </w:rPr>
              <w:t>（GB 1</w:t>
            </w:r>
            <w:r>
              <w:rPr>
                <w:rFonts w:hint="eastAsia" w:eastAsia="宋体"/>
                <w:sz w:val="22"/>
              </w:rPr>
              <w:t>6297</w:t>
            </w:r>
            <w:r>
              <w:rPr>
                <w:rFonts w:eastAsia="宋体"/>
                <w:sz w:val="22"/>
              </w:rPr>
              <w:t>-</w:t>
            </w:r>
            <w:r>
              <w:rPr>
                <w:rFonts w:hint="eastAsia" w:eastAsia="宋体"/>
                <w:sz w:val="22"/>
              </w:rPr>
              <w:t>1996</w:t>
            </w:r>
            <w:r>
              <w:rPr>
                <w:rFonts w:eastAsia="宋体"/>
                <w:sz w:val="22"/>
              </w:rPr>
              <w:t>）</w:t>
            </w:r>
            <w:r>
              <w:rPr>
                <w:rFonts w:hint="eastAsia" w:eastAsia="宋体"/>
                <w:sz w:val="22"/>
              </w:rPr>
              <w:t>表2无组织排放监控浓度限值要求。</w:t>
            </w:r>
          </w:p>
        </w:tc>
      </w:tr>
    </w:tbl>
    <w:p>
      <w:pPr>
        <w:widowControl/>
        <w:shd w:val="clear" w:color="auto" w:fill="FFFFFF"/>
        <w:spacing w:line="240" w:lineRule="auto"/>
        <w:jc w:val="center"/>
        <w:rPr>
          <w:color w:val="3E3E3E"/>
          <w:kern w:val="0"/>
          <w:sz w:val="24"/>
          <w:szCs w:val="26"/>
        </w:rPr>
      </w:pPr>
    </w:p>
    <w:p>
      <w:pPr>
        <w:widowControl/>
        <w:shd w:val="clear" w:color="auto" w:fill="FFFFFF"/>
        <w:jc w:val="center"/>
        <w:rPr>
          <w:color w:val="000000"/>
          <w:kern w:val="0"/>
          <w:szCs w:val="26"/>
        </w:rPr>
        <w:sectPr>
          <w:pgSz w:w="16838" w:h="11906" w:orient="landscape"/>
          <w:pgMar w:top="1588" w:right="1440" w:bottom="1588" w:left="1191" w:header="851" w:footer="992" w:gutter="0"/>
          <w:cols w:space="425" w:num="1"/>
          <w:docGrid w:type="lines" w:linePitch="354" w:charSpace="0"/>
        </w:sectPr>
      </w:pPr>
    </w:p>
    <w:p>
      <w:pPr>
        <w:widowControl/>
        <w:shd w:val="clear" w:color="auto" w:fill="FFFFFF"/>
        <w:spacing w:line="240" w:lineRule="auto"/>
        <w:jc w:val="center"/>
        <w:rPr>
          <w:color w:val="3E3E3E"/>
          <w:kern w:val="0"/>
          <w:sz w:val="24"/>
          <w:szCs w:val="26"/>
        </w:rPr>
      </w:pPr>
      <w:r>
        <w:rPr>
          <w:rFonts w:hint="eastAsia"/>
          <w:color w:val="3E3E3E"/>
          <w:kern w:val="0"/>
          <w:sz w:val="24"/>
          <w:szCs w:val="26"/>
        </w:rPr>
        <w:t xml:space="preserve">表9-3  </w:t>
      </w:r>
      <w:r>
        <w:rPr>
          <w:color w:val="3E3E3E"/>
          <w:kern w:val="0"/>
          <w:sz w:val="24"/>
          <w:szCs w:val="26"/>
        </w:rPr>
        <w:t>无组织废气监测</w:t>
      </w:r>
      <w:r>
        <w:rPr>
          <w:rFonts w:hint="eastAsia"/>
          <w:color w:val="3E3E3E"/>
          <w:kern w:val="0"/>
          <w:sz w:val="24"/>
          <w:szCs w:val="26"/>
        </w:rPr>
        <w:t>期间气象参数</w:t>
      </w:r>
    </w:p>
    <w:tbl>
      <w:tblPr>
        <w:tblStyle w:val="47"/>
        <w:tblW w:w="887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14"/>
        <w:gridCol w:w="952"/>
        <w:gridCol w:w="1116"/>
        <w:gridCol w:w="1255"/>
        <w:gridCol w:w="1256"/>
        <w:gridCol w:w="975"/>
        <w:gridCol w:w="1051"/>
        <w:gridCol w:w="10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214" w:type="dxa"/>
            <w:vAlign w:val="center"/>
          </w:tcPr>
          <w:p>
            <w:pPr>
              <w:widowControl/>
              <w:adjustRightInd/>
              <w:snapToGrid/>
              <w:spacing w:line="240" w:lineRule="auto"/>
              <w:jc w:val="center"/>
              <w:rPr>
                <w:rFonts w:eastAsia="宋体"/>
                <w:sz w:val="22"/>
              </w:rPr>
            </w:pPr>
            <w:r>
              <w:rPr>
                <w:rFonts w:hint="eastAsia" w:eastAsia="宋体"/>
                <w:sz w:val="22"/>
              </w:rPr>
              <w:t>监测日期</w:t>
            </w:r>
          </w:p>
        </w:tc>
        <w:tc>
          <w:tcPr>
            <w:tcW w:w="952" w:type="dxa"/>
            <w:vAlign w:val="center"/>
          </w:tcPr>
          <w:p>
            <w:pPr>
              <w:adjustRightInd/>
              <w:snapToGrid/>
              <w:spacing w:line="240" w:lineRule="auto"/>
              <w:jc w:val="center"/>
              <w:rPr>
                <w:rFonts w:eastAsia="宋体"/>
                <w:sz w:val="22"/>
              </w:rPr>
            </w:pPr>
            <w:r>
              <w:rPr>
                <w:rFonts w:hint="eastAsia" w:eastAsia="宋体"/>
                <w:sz w:val="22"/>
              </w:rPr>
              <w:t>时间</w:t>
            </w:r>
          </w:p>
        </w:tc>
        <w:tc>
          <w:tcPr>
            <w:tcW w:w="1116" w:type="dxa"/>
            <w:vAlign w:val="center"/>
          </w:tcPr>
          <w:p>
            <w:pPr>
              <w:widowControl/>
              <w:spacing w:line="240" w:lineRule="auto"/>
              <w:jc w:val="center"/>
              <w:rPr>
                <w:rFonts w:eastAsia="宋体"/>
                <w:kern w:val="0"/>
                <w:sz w:val="22"/>
              </w:rPr>
            </w:pPr>
            <w:r>
              <w:rPr>
                <w:rFonts w:eastAsia="宋体"/>
                <w:kern w:val="0"/>
                <w:sz w:val="22"/>
              </w:rPr>
              <w:t>气温（</w:t>
            </w:r>
            <w:r>
              <w:rPr>
                <w:rFonts w:hAnsi="宋体" w:eastAsia="宋体"/>
                <w:kern w:val="0"/>
                <w:sz w:val="22"/>
              </w:rPr>
              <w:t>℃</w:t>
            </w:r>
            <w:r>
              <w:rPr>
                <w:rFonts w:eastAsia="宋体"/>
                <w:kern w:val="0"/>
                <w:sz w:val="22"/>
              </w:rPr>
              <w:t>）</w:t>
            </w:r>
          </w:p>
        </w:tc>
        <w:tc>
          <w:tcPr>
            <w:tcW w:w="1255" w:type="dxa"/>
            <w:vAlign w:val="center"/>
          </w:tcPr>
          <w:p>
            <w:pPr>
              <w:widowControl/>
              <w:spacing w:line="240" w:lineRule="auto"/>
              <w:jc w:val="center"/>
              <w:rPr>
                <w:rFonts w:eastAsia="宋体"/>
                <w:kern w:val="0"/>
                <w:sz w:val="22"/>
              </w:rPr>
            </w:pPr>
            <w:r>
              <w:rPr>
                <w:rFonts w:eastAsia="宋体"/>
                <w:kern w:val="0"/>
                <w:sz w:val="22"/>
              </w:rPr>
              <w:t>气压（kPa）</w:t>
            </w:r>
          </w:p>
        </w:tc>
        <w:tc>
          <w:tcPr>
            <w:tcW w:w="1256" w:type="dxa"/>
            <w:vAlign w:val="center"/>
          </w:tcPr>
          <w:p>
            <w:pPr>
              <w:widowControl/>
              <w:spacing w:line="240" w:lineRule="auto"/>
              <w:jc w:val="center"/>
              <w:rPr>
                <w:rFonts w:eastAsia="宋体"/>
                <w:kern w:val="0"/>
                <w:sz w:val="22"/>
              </w:rPr>
            </w:pPr>
            <w:r>
              <w:rPr>
                <w:rFonts w:eastAsia="宋体"/>
                <w:kern w:val="0"/>
                <w:sz w:val="22"/>
              </w:rPr>
              <w:t>风速（m/s）</w:t>
            </w:r>
          </w:p>
        </w:tc>
        <w:tc>
          <w:tcPr>
            <w:tcW w:w="975" w:type="dxa"/>
            <w:vAlign w:val="center"/>
          </w:tcPr>
          <w:p>
            <w:pPr>
              <w:widowControl/>
              <w:spacing w:line="240" w:lineRule="auto"/>
              <w:jc w:val="center"/>
              <w:rPr>
                <w:rFonts w:eastAsia="宋体"/>
                <w:kern w:val="0"/>
                <w:sz w:val="22"/>
              </w:rPr>
            </w:pPr>
            <w:r>
              <w:rPr>
                <w:rFonts w:eastAsia="宋体"/>
                <w:kern w:val="0"/>
                <w:sz w:val="22"/>
              </w:rPr>
              <w:t>风向</w:t>
            </w:r>
          </w:p>
        </w:tc>
        <w:tc>
          <w:tcPr>
            <w:tcW w:w="1051" w:type="dxa"/>
            <w:vAlign w:val="center"/>
          </w:tcPr>
          <w:p>
            <w:pPr>
              <w:widowControl/>
              <w:spacing w:line="240" w:lineRule="auto"/>
              <w:jc w:val="center"/>
              <w:rPr>
                <w:rFonts w:eastAsia="宋体"/>
                <w:kern w:val="0"/>
                <w:sz w:val="22"/>
              </w:rPr>
            </w:pPr>
            <w:r>
              <w:rPr>
                <w:rFonts w:eastAsia="宋体"/>
                <w:kern w:val="0"/>
                <w:sz w:val="22"/>
              </w:rPr>
              <w:t>总云量</w:t>
            </w:r>
          </w:p>
        </w:tc>
        <w:tc>
          <w:tcPr>
            <w:tcW w:w="1051" w:type="dxa"/>
            <w:vAlign w:val="center"/>
          </w:tcPr>
          <w:p>
            <w:pPr>
              <w:widowControl/>
              <w:spacing w:line="240" w:lineRule="auto"/>
              <w:jc w:val="center"/>
              <w:rPr>
                <w:rFonts w:eastAsia="宋体"/>
                <w:kern w:val="0"/>
                <w:sz w:val="22"/>
              </w:rPr>
            </w:pPr>
            <w:r>
              <w:rPr>
                <w:rFonts w:eastAsia="宋体"/>
                <w:kern w:val="0"/>
                <w:sz w:val="22"/>
              </w:rPr>
              <w:t>低云量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214" w:type="dxa"/>
            <w:vMerge w:val="restart"/>
            <w:vAlign w:val="center"/>
          </w:tcPr>
          <w:p>
            <w:pPr>
              <w:widowControl/>
              <w:spacing w:line="240" w:lineRule="auto"/>
              <w:jc w:val="center"/>
              <w:rPr>
                <w:sz w:val="22"/>
              </w:rPr>
            </w:pPr>
            <w:r>
              <w:rPr>
                <w:sz w:val="22"/>
              </w:rPr>
              <w:t>2017.12.21</w:t>
            </w:r>
          </w:p>
        </w:tc>
        <w:tc>
          <w:tcPr>
            <w:tcW w:w="952" w:type="dxa"/>
            <w:vAlign w:val="center"/>
          </w:tcPr>
          <w:p>
            <w:pPr>
              <w:spacing w:line="240" w:lineRule="auto"/>
              <w:jc w:val="center"/>
              <w:rPr>
                <w:sz w:val="22"/>
              </w:rPr>
            </w:pPr>
            <w:r>
              <w:rPr>
                <w:rFonts w:hint="eastAsia"/>
                <w:sz w:val="22"/>
              </w:rPr>
              <w:t>10:00</w:t>
            </w:r>
          </w:p>
        </w:tc>
        <w:tc>
          <w:tcPr>
            <w:tcW w:w="1116" w:type="dxa"/>
            <w:vAlign w:val="center"/>
          </w:tcPr>
          <w:p>
            <w:pPr>
              <w:spacing w:line="240" w:lineRule="auto"/>
              <w:jc w:val="center"/>
              <w:rPr>
                <w:sz w:val="22"/>
              </w:rPr>
            </w:pPr>
            <w:r>
              <w:rPr>
                <w:rFonts w:hint="eastAsia"/>
                <w:sz w:val="22"/>
              </w:rPr>
              <w:t>3.1</w:t>
            </w:r>
          </w:p>
        </w:tc>
        <w:tc>
          <w:tcPr>
            <w:tcW w:w="1255" w:type="dxa"/>
            <w:vAlign w:val="center"/>
          </w:tcPr>
          <w:p>
            <w:pPr>
              <w:spacing w:line="240" w:lineRule="auto"/>
              <w:jc w:val="center"/>
              <w:rPr>
                <w:sz w:val="22"/>
              </w:rPr>
            </w:pPr>
            <w:r>
              <w:rPr>
                <w:sz w:val="22"/>
              </w:rPr>
              <w:t>10</w:t>
            </w:r>
            <w:r>
              <w:rPr>
                <w:rFonts w:hint="eastAsia"/>
                <w:sz w:val="22"/>
              </w:rPr>
              <w:t>3</w:t>
            </w:r>
            <w:r>
              <w:rPr>
                <w:sz w:val="22"/>
              </w:rPr>
              <w:t>.</w:t>
            </w:r>
            <w:r>
              <w:rPr>
                <w:rFonts w:hint="eastAsia"/>
                <w:sz w:val="22"/>
              </w:rPr>
              <w:t>4</w:t>
            </w:r>
          </w:p>
        </w:tc>
        <w:tc>
          <w:tcPr>
            <w:tcW w:w="1256" w:type="dxa"/>
            <w:vAlign w:val="center"/>
          </w:tcPr>
          <w:p>
            <w:pPr>
              <w:spacing w:line="240" w:lineRule="auto"/>
              <w:jc w:val="center"/>
              <w:rPr>
                <w:sz w:val="22"/>
              </w:rPr>
            </w:pPr>
            <w:r>
              <w:rPr>
                <w:rFonts w:hint="eastAsia"/>
                <w:sz w:val="22"/>
              </w:rPr>
              <w:t>0.9</w:t>
            </w:r>
          </w:p>
        </w:tc>
        <w:tc>
          <w:tcPr>
            <w:tcW w:w="975" w:type="dxa"/>
            <w:vAlign w:val="center"/>
          </w:tcPr>
          <w:p>
            <w:pPr>
              <w:spacing w:line="240" w:lineRule="auto"/>
              <w:jc w:val="center"/>
              <w:rPr>
                <w:sz w:val="22"/>
              </w:rPr>
            </w:pPr>
            <w:r>
              <w:rPr>
                <w:rFonts w:hint="eastAsia"/>
                <w:sz w:val="22"/>
              </w:rPr>
              <w:t>S</w:t>
            </w:r>
          </w:p>
        </w:tc>
        <w:tc>
          <w:tcPr>
            <w:tcW w:w="1051" w:type="dxa"/>
            <w:vAlign w:val="center"/>
          </w:tcPr>
          <w:p>
            <w:pPr>
              <w:spacing w:line="240" w:lineRule="auto"/>
              <w:jc w:val="center"/>
              <w:rPr>
                <w:sz w:val="22"/>
              </w:rPr>
            </w:pPr>
            <w:r>
              <w:rPr>
                <w:rFonts w:hint="eastAsia"/>
                <w:sz w:val="22"/>
              </w:rPr>
              <w:t>5</w:t>
            </w:r>
          </w:p>
        </w:tc>
        <w:tc>
          <w:tcPr>
            <w:tcW w:w="1051" w:type="dxa"/>
            <w:vAlign w:val="center"/>
          </w:tcPr>
          <w:p>
            <w:pPr>
              <w:spacing w:line="240" w:lineRule="auto"/>
              <w:jc w:val="center"/>
              <w:rPr>
                <w:sz w:val="22"/>
              </w:rPr>
            </w:pPr>
            <w:r>
              <w:rPr>
                <w:rFonts w:hint="eastAsia"/>
                <w:sz w:val="22"/>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214" w:type="dxa"/>
            <w:vMerge w:val="continue"/>
            <w:vAlign w:val="center"/>
          </w:tcPr>
          <w:p>
            <w:pPr>
              <w:widowControl/>
              <w:adjustRightInd/>
              <w:snapToGrid/>
              <w:spacing w:line="240" w:lineRule="auto"/>
              <w:jc w:val="center"/>
              <w:rPr>
                <w:rFonts w:eastAsia="宋体"/>
                <w:sz w:val="22"/>
              </w:rPr>
            </w:pPr>
          </w:p>
        </w:tc>
        <w:tc>
          <w:tcPr>
            <w:tcW w:w="952" w:type="dxa"/>
            <w:vAlign w:val="center"/>
          </w:tcPr>
          <w:p>
            <w:pPr>
              <w:adjustRightInd/>
              <w:snapToGrid/>
              <w:spacing w:line="240" w:lineRule="auto"/>
              <w:jc w:val="center"/>
              <w:rPr>
                <w:rFonts w:eastAsia="宋体"/>
                <w:sz w:val="22"/>
              </w:rPr>
            </w:pPr>
            <w:r>
              <w:rPr>
                <w:sz w:val="22"/>
              </w:rPr>
              <w:t>1</w:t>
            </w:r>
            <w:r>
              <w:rPr>
                <w:rFonts w:hint="eastAsia"/>
                <w:sz w:val="22"/>
              </w:rPr>
              <w:t>4:00</w:t>
            </w:r>
          </w:p>
        </w:tc>
        <w:tc>
          <w:tcPr>
            <w:tcW w:w="1116" w:type="dxa"/>
            <w:vAlign w:val="center"/>
          </w:tcPr>
          <w:p>
            <w:pPr>
              <w:adjustRightInd/>
              <w:snapToGrid/>
              <w:spacing w:line="240" w:lineRule="auto"/>
              <w:jc w:val="center"/>
              <w:rPr>
                <w:rFonts w:eastAsia="宋体"/>
                <w:sz w:val="22"/>
              </w:rPr>
            </w:pPr>
            <w:r>
              <w:rPr>
                <w:rFonts w:hint="eastAsia"/>
                <w:sz w:val="22"/>
              </w:rPr>
              <w:t>8.9</w:t>
            </w:r>
          </w:p>
        </w:tc>
        <w:tc>
          <w:tcPr>
            <w:tcW w:w="1255" w:type="dxa"/>
            <w:vAlign w:val="center"/>
          </w:tcPr>
          <w:p>
            <w:pPr>
              <w:adjustRightInd/>
              <w:snapToGrid/>
              <w:spacing w:line="240" w:lineRule="auto"/>
              <w:jc w:val="center"/>
              <w:rPr>
                <w:rFonts w:eastAsia="宋体"/>
                <w:sz w:val="22"/>
              </w:rPr>
            </w:pPr>
            <w:r>
              <w:rPr>
                <w:sz w:val="22"/>
              </w:rPr>
              <w:t>10</w:t>
            </w:r>
            <w:r>
              <w:rPr>
                <w:rFonts w:hint="eastAsia"/>
                <w:sz w:val="22"/>
              </w:rPr>
              <w:t>3.3</w:t>
            </w:r>
          </w:p>
        </w:tc>
        <w:tc>
          <w:tcPr>
            <w:tcW w:w="1256" w:type="dxa"/>
            <w:vAlign w:val="center"/>
          </w:tcPr>
          <w:p>
            <w:pPr>
              <w:adjustRightInd/>
              <w:snapToGrid/>
              <w:spacing w:line="240" w:lineRule="auto"/>
              <w:jc w:val="center"/>
              <w:rPr>
                <w:rFonts w:eastAsia="楷体_GB2312"/>
                <w:color w:val="000000"/>
                <w:sz w:val="22"/>
              </w:rPr>
            </w:pPr>
            <w:r>
              <w:rPr>
                <w:rFonts w:hint="eastAsia"/>
                <w:sz w:val="22"/>
              </w:rPr>
              <w:t>1.5</w:t>
            </w:r>
          </w:p>
        </w:tc>
        <w:tc>
          <w:tcPr>
            <w:tcW w:w="975" w:type="dxa"/>
            <w:vAlign w:val="center"/>
          </w:tcPr>
          <w:p>
            <w:pPr>
              <w:adjustRightInd/>
              <w:snapToGrid/>
              <w:spacing w:line="240" w:lineRule="auto"/>
              <w:jc w:val="center"/>
              <w:rPr>
                <w:rFonts w:eastAsia="宋体"/>
                <w:sz w:val="22"/>
              </w:rPr>
            </w:pPr>
            <w:r>
              <w:rPr>
                <w:rFonts w:hint="eastAsia"/>
                <w:sz w:val="22"/>
              </w:rPr>
              <w:t>S</w:t>
            </w:r>
          </w:p>
        </w:tc>
        <w:tc>
          <w:tcPr>
            <w:tcW w:w="1051" w:type="dxa"/>
            <w:vAlign w:val="center"/>
          </w:tcPr>
          <w:p>
            <w:pPr>
              <w:adjustRightInd/>
              <w:snapToGrid/>
              <w:spacing w:line="240" w:lineRule="auto"/>
              <w:jc w:val="center"/>
              <w:rPr>
                <w:rFonts w:eastAsia="宋体"/>
                <w:sz w:val="22"/>
              </w:rPr>
            </w:pPr>
            <w:r>
              <w:rPr>
                <w:rFonts w:hint="eastAsia"/>
                <w:sz w:val="22"/>
              </w:rPr>
              <w:t>3</w:t>
            </w:r>
          </w:p>
        </w:tc>
        <w:tc>
          <w:tcPr>
            <w:tcW w:w="1051" w:type="dxa"/>
            <w:vAlign w:val="center"/>
          </w:tcPr>
          <w:p>
            <w:pPr>
              <w:adjustRightInd/>
              <w:snapToGrid/>
              <w:spacing w:line="240" w:lineRule="auto"/>
              <w:jc w:val="center"/>
              <w:rPr>
                <w:rFonts w:eastAsia="宋体"/>
                <w:sz w:val="22"/>
              </w:rPr>
            </w:pPr>
            <w:r>
              <w:rPr>
                <w:rFonts w:hint="eastAsia"/>
                <w:sz w:val="22"/>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214" w:type="dxa"/>
            <w:vMerge w:val="continue"/>
            <w:vAlign w:val="center"/>
          </w:tcPr>
          <w:p>
            <w:pPr>
              <w:widowControl/>
              <w:adjustRightInd/>
              <w:snapToGrid/>
              <w:spacing w:line="240" w:lineRule="auto"/>
              <w:jc w:val="center"/>
              <w:rPr>
                <w:rFonts w:eastAsia="宋体"/>
                <w:sz w:val="22"/>
              </w:rPr>
            </w:pPr>
          </w:p>
        </w:tc>
        <w:tc>
          <w:tcPr>
            <w:tcW w:w="952" w:type="dxa"/>
            <w:vAlign w:val="center"/>
          </w:tcPr>
          <w:p>
            <w:pPr>
              <w:adjustRightInd/>
              <w:snapToGrid/>
              <w:spacing w:line="240" w:lineRule="auto"/>
              <w:jc w:val="center"/>
              <w:rPr>
                <w:rFonts w:eastAsia="宋体"/>
                <w:sz w:val="22"/>
              </w:rPr>
            </w:pPr>
            <w:r>
              <w:rPr>
                <w:sz w:val="22"/>
              </w:rPr>
              <w:t>1</w:t>
            </w:r>
            <w:r>
              <w:rPr>
                <w:rFonts w:hint="eastAsia"/>
                <w:sz w:val="22"/>
              </w:rPr>
              <w:t>6:00</w:t>
            </w:r>
          </w:p>
        </w:tc>
        <w:tc>
          <w:tcPr>
            <w:tcW w:w="1116" w:type="dxa"/>
            <w:vAlign w:val="center"/>
          </w:tcPr>
          <w:p>
            <w:pPr>
              <w:adjustRightInd/>
              <w:snapToGrid/>
              <w:spacing w:line="240" w:lineRule="auto"/>
              <w:jc w:val="center"/>
              <w:rPr>
                <w:rFonts w:eastAsia="宋体"/>
                <w:sz w:val="22"/>
              </w:rPr>
            </w:pPr>
            <w:r>
              <w:rPr>
                <w:rFonts w:hint="eastAsia"/>
                <w:sz w:val="22"/>
              </w:rPr>
              <w:t>7.5</w:t>
            </w:r>
          </w:p>
        </w:tc>
        <w:tc>
          <w:tcPr>
            <w:tcW w:w="1255" w:type="dxa"/>
            <w:vAlign w:val="center"/>
          </w:tcPr>
          <w:p>
            <w:pPr>
              <w:adjustRightInd/>
              <w:snapToGrid/>
              <w:spacing w:line="240" w:lineRule="auto"/>
              <w:jc w:val="center"/>
              <w:rPr>
                <w:rFonts w:eastAsia="宋体"/>
                <w:sz w:val="22"/>
              </w:rPr>
            </w:pPr>
            <w:r>
              <w:rPr>
                <w:sz w:val="22"/>
              </w:rPr>
              <w:t>10</w:t>
            </w:r>
            <w:r>
              <w:rPr>
                <w:rFonts w:hint="eastAsia"/>
                <w:sz w:val="22"/>
              </w:rPr>
              <w:t>3.2</w:t>
            </w:r>
          </w:p>
        </w:tc>
        <w:tc>
          <w:tcPr>
            <w:tcW w:w="1256" w:type="dxa"/>
            <w:vAlign w:val="center"/>
          </w:tcPr>
          <w:p>
            <w:pPr>
              <w:adjustRightInd/>
              <w:snapToGrid/>
              <w:spacing w:line="240" w:lineRule="auto"/>
              <w:jc w:val="center"/>
              <w:rPr>
                <w:rFonts w:eastAsia="楷体_GB2312"/>
                <w:color w:val="000000"/>
                <w:sz w:val="22"/>
              </w:rPr>
            </w:pPr>
            <w:r>
              <w:rPr>
                <w:rFonts w:hint="eastAsia"/>
                <w:sz w:val="22"/>
              </w:rPr>
              <w:t>1.2</w:t>
            </w:r>
          </w:p>
        </w:tc>
        <w:tc>
          <w:tcPr>
            <w:tcW w:w="975" w:type="dxa"/>
            <w:vAlign w:val="center"/>
          </w:tcPr>
          <w:p>
            <w:pPr>
              <w:adjustRightInd/>
              <w:snapToGrid/>
              <w:spacing w:line="240" w:lineRule="auto"/>
              <w:jc w:val="center"/>
              <w:rPr>
                <w:rFonts w:eastAsia="宋体"/>
                <w:sz w:val="22"/>
              </w:rPr>
            </w:pPr>
            <w:r>
              <w:rPr>
                <w:rFonts w:hint="eastAsia"/>
                <w:sz w:val="22"/>
              </w:rPr>
              <w:t>S</w:t>
            </w:r>
          </w:p>
        </w:tc>
        <w:tc>
          <w:tcPr>
            <w:tcW w:w="1051" w:type="dxa"/>
            <w:vAlign w:val="center"/>
          </w:tcPr>
          <w:p>
            <w:pPr>
              <w:adjustRightInd/>
              <w:snapToGrid/>
              <w:spacing w:line="240" w:lineRule="auto"/>
              <w:jc w:val="center"/>
              <w:rPr>
                <w:rFonts w:eastAsia="宋体"/>
                <w:sz w:val="22"/>
              </w:rPr>
            </w:pPr>
            <w:r>
              <w:rPr>
                <w:rFonts w:hint="eastAsia"/>
                <w:sz w:val="22"/>
              </w:rPr>
              <w:t>3</w:t>
            </w:r>
          </w:p>
        </w:tc>
        <w:tc>
          <w:tcPr>
            <w:tcW w:w="1051" w:type="dxa"/>
            <w:vAlign w:val="center"/>
          </w:tcPr>
          <w:p>
            <w:pPr>
              <w:adjustRightInd/>
              <w:snapToGrid/>
              <w:spacing w:line="240" w:lineRule="auto"/>
              <w:jc w:val="center"/>
              <w:rPr>
                <w:rFonts w:eastAsia="宋体"/>
                <w:sz w:val="22"/>
              </w:rPr>
            </w:pPr>
            <w:r>
              <w:rPr>
                <w:rFonts w:hint="eastAsia"/>
                <w:sz w:val="22"/>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214" w:type="dxa"/>
            <w:vMerge w:val="restart"/>
            <w:vAlign w:val="center"/>
          </w:tcPr>
          <w:p>
            <w:pPr>
              <w:widowControl/>
              <w:spacing w:line="240" w:lineRule="auto"/>
              <w:jc w:val="center"/>
              <w:rPr>
                <w:sz w:val="22"/>
              </w:rPr>
            </w:pPr>
            <w:r>
              <w:rPr>
                <w:sz w:val="22"/>
              </w:rPr>
              <w:t>2017.12.22</w:t>
            </w:r>
          </w:p>
        </w:tc>
        <w:tc>
          <w:tcPr>
            <w:tcW w:w="952" w:type="dxa"/>
            <w:vAlign w:val="center"/>
          </w:tcPr>
          <w:p>
            <w:pPr>
              <w:spacing w:line="240" w:lineRule="auto"/>
              <w:jc w:val="center"/>
              <w:rPr>
                <w:sz w:val="22"/>
              </w:rPr>
            </w:pPr>
            <w:r>
              <w:rPr>
                <w:rFonts w:hint="eastAsia"/>
                <w:sz w:val="22"/>
              </w:rPr>
              <w:t>10:00</w:t>
            </w:r>
          </w:p>
        </w:tc>
        <w:tc>
          <w:tcPr>
            <w:tcW w:w="1116" w:type="dxa"/>
            <w:vAlign w:val="center"/>
          </w:tcPr>
          <w:p>
            <w:pPr>
              <w:spacing w:line="240" w:lineRule="auto"/>
              <w:jc w:val="center"/>
              <w:rPr>
                <w:sz w:val="22"/>
              </w:rPr>
            </w:pPr>
            <w:r>
              <w:rPr>
                <w:rFonts w:hint="eastAsia"/>
                <w:sz w:val="22"/>
              </w:rPr>
              <w:t>2.2</w:t>
            </w:r>
          </w:p>
        </w:tc>
        <w:tc>
          <w:tcPr>
            <w:tcW w:w="1255" w:type="dxa"/>
            <w:vAlign w:val="center"/>
          </w:tcPr>
          <w:p>
            <w:pPr>
              <w:spacing w:line="240" w:lineRule="auto"/>
              <w:jc w:val="center"/>
              <w:rPr>
                <w:sz w:val="22"/>
              </w:rPr>
            </w:pPr>
            <w:r>
              <w:rPr>
                <w:sz w:val="22"/>
              </w:rPr>
              <w:t>102.</w:t>
            </w:r>
            <w:r>
              <w:rPr>
                <w:rFonts w:hint="eastAsia"/>
                <w:sz w:val="22"/>
              </w:rPr>
              <w:t>6</w:t>
            </w:r>
          </w:p>
        </w:tc>
        <w:tc>
          <w:tcPr>
            <w:tcW w:w="1256" w:type="dxa"/>
            <w:vAlign w:val="center"/>
          </w:tcPr>
          <w:p>
            <w:pPr>
              <w:spacing w:line="240" w:lineRule="auto"/>
              <w:jc w:val="center"/>
              <w:rPr>
                <w:sz w:val="22"/>
              </w:rPr>
            </w:pPr>
            <w:r>
              <w:rPr>
                <w:rFonts w:hint="eastAsia"/>
                <w:sz w:val="22"/>
              </w:rPr>
              <w:t>1.3</w:t>
            </w:r>
          </w:p>
        </w:tc>
        <w:tc>
          <w:tcPr>
            <w:tcW w:w="975" w:type="dxa"/>
            <w:vAlign w:val="center"/>
          </w:tcPr>
          <w:p>
            <w:pPr>
              <w:spacing w:line="240" w:lineRule="auto"/>
              <w:jc w:val="center"/>
              <w:rPr>
                <w:sz w:val="22"/>
              </w:rPr>
            </w:pPr>
            <w:r>
              <w:rPr>
                <w:rFonts w:hint="eastAsia"/>
                <w:sz w:val="22"/>
              </w:rPr>
              <w:t>S</w:t>
            </w:r>
          </w:p>
        </w:tc>
        <w:tc>
          <w:tcPr>
            <w:tcW w:w="1051" w:type="dxa"/>
            <w:vAlign w:val="center"/>
          </w:tcPr>
          <w:p>
            <w:pPr>
              <w:spacing w:line="240" w:lineRule="auto"/>
              <w:jc w:val="center"/>
              <w:rPr>
                <w:sz w:val="22"/>
              </w:rPr>
            </w:pPr>
            <w:r>
              <w:rPr>
                <w:rFonts w:hint="eastAsia"/>
                <w:sz w:val="22"/>
              </w:rPr>
              <w:t>4</w:t>
            </w:r>
          </w:p>
        </w:tc>
        <w:tc>
          <w:tcPr>
            <w:tcW w:w="1051" w:type="dxa"/>
            <w:vAlign w:val="center"/>
          </w:tcPr>
          <w:p>
            <w:pPr>
              <w:spacing w:line="240" w:lineRule="auto"/>
              <w:jc w:val="center"/>
              <w:rPr>
                <w:sz w:val="22"/>
              </w:rPr>
            </w:pPr>
            <w:r>
              <w:rPr>
                <w:rFonts w:hint="eastAsia"/>
                <w:sz w:val="22"/>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214" w:type="dxa"/>
            <w:vMerge w:val="continue"/>
            <w:vAlign w:val="center"/>
          </w:tcPr>
          <w:p>
            <w:pPr>
              <w:widowControl/>
              <w:adjustRightInd/>
              <w:snapToGrid/>
              <w:spacing w:line="240" w:lineRule="auto"/>
              <w:jc w:val="center"/>
              <w:rPr>
                <w:rFonts w:eastAsia="宋体"/>
                <w:sz w:val="22"/>
              </w:rPr>
            </w:pPr>
          </w:p>
        </w:tc>
        <w:tc>
          <w:tcPr>
            <w:tcW w:w="952" w:type="dxa"/>
            <w:vAlign w:val="center"/>
          </w:tcPr>
          <w:p>
            <w:pPr>
              <w:adjustRightInd/>
              <w:snapToGrid/>
              <w:spacing w:line="240" w:lineRule="auto"/>
              <w:jc w:val="center"/>
              <w:rPr>
                <w:rFonts w:eastAsia="宋体"/>
                <w:sz w:val="22"/>
              </w:rPr>
            </w:pPr>
            <w:r>
              <w:rPr>
                <w:sz w:val="22"/>
              </w:rPr>
              <w:t>1</w:t>
            </w:r>
            <w:r>
              <w:rPr>
                <w:rFonts w:hint="eastAsia"/>
                <w:sz w:val="22"/>
              </w:rPr>
              <w:t>4:00</w:t>
            </w:r>
          </w:p>
        </w:tc>
        <w:tc>
          <w:tcPr>
            <w:tcW w:w="1116" w:type="dxa"/>
            <w:vAlign w:val="center"/>
          </w:tcPr>
          <w:p>
            <w:pPr>
              <w:adjustRightInd/>
              <w:snapToGrid/>
              <w:spacing w:line="240" w:lineRule="auto"/>
              <w:jc w:val="center"/>
              <w:rPr>
                <w:rFonts w:eastAsia="宋体"/>
                <w:sz w:val="22"/>
              </w:rPr>
            </w:pPr>
            <w:r>
              <w:rPr>
                <w:rFonts w:hint="eastAsia"/>
                <w:sz w:val="22"/>
              </w:rPr>
              <w:t>9.3</w:t>
            </w:r>
          </w:p>
        </w:tc>
        <w:tc>
          <w:tcPr>
            <w:tcW w:w="1255" w:type="dxa"/>
            <w:vAlign w:val="center"/>
          </w:tcPr>
          <w:p>
            <w:pPr>
              <w:adjustRightInd/>
              <w:snapToGrid/>
              <w:spacing w:line="240" w:lineRule="auto"/>
              <w:jc w:val="center"/>
              <w:rPr>
                <w:rFonts w:eastAsia="宋体"/>
                <w:sz w:val="22"/>
              </w:rPr>
            </w:pPr>
            <w:r>
              <w:rPr>
                <w:sz w:val="22"/>
              </w:rPr>
              <w:t>102.</w:t>
            </w:r>
            <w:r>
              <w:rPr>
                <w:rFonts w:hint="eastAsia"/>
                <w:sz w:val="22"/>
              </w:rPr>
              <w:t>5</w:t>
            </w:r>
          </w:p>
        </w:tc>
        <w:tc>
          <w:tcPr>
            <w:tcW w:w="1256" w:type="dxa"/>
            <w:vAlign w:val="center"/>
          </w:tcPr>
          <w:p>
            <w:pPr>
              <w:adjustRightInd/>
              <w:snapToGrid/>
              <w:spacing w:line="240" w:lineRule="auto"/>
              <w:jc w:val="center"/>
              <w:rPr>
                <w:rFonts w:eastAsia="楷体_GB2312"/>
                <w:color w:val="000000"/>
                <w:sz w:val="22"/>
              </w:rPr>
            </w:pPr>
            <w:r>
              <w:rPr>
                <w:rFonts w:hint="eastAsia"/>
                <w:sz w:val="22"/>
              </w:rPr>
              <w:t>1.7</w:t>
            </w:r>
          </w:p>
        </w:tc>
        <w:tc>
          <w:tcPr>
            <w:tcW w:w="975" w:type="dxa"/>
            <w:vAlign w:val="center"/>
          </w:tcPr>
          <w:p>
            <w:pPr>
              <w:adjustRightInd/>
              <w:snapToGrid/>
              <w:spacing w:line="240" w:lineRule="auto"/>
              <w:jc w:val="center"/>
              <w:rPr>
                <w:rFonts w:eastAsia="宋体"/>
                <w:sz w:val="22"/>
              </w:rPr>
            </w:pPr>
            <w:r>
              <w:rPr>
                <w:rFonts w:hint="eastAsia"/>
                <w:sz w:val="22"/>
              </w:rPr>
              <w:t>S</w:t>
            </w:r>
          </w:p>
        </w:tc>
        <w:tc>
          <w:tcPr>
            <w:tcW w:w="1051" w:type="dxa"/>
            <w:vAlign w:val="center"/>
          </w:tcPr>
          <w:p>
            <w:pPr>
              <w:adjustRightInd/>
              <w:snapToGrid/>
              <w:spacing w:line="240" w:lineRule="auto"/>
              <w:jc w:val="center"/>
              <w:rPr>
                <w:rFonts w:eastAsia="宋体"/>
                <w:sz w:val="22"/>
              </w:rPr>
            </w:pPr>
            <w:r>
              <w:rPr>
                <w:rFonts w:hint="eastAsia"/>
                <w:sz w:val="22"/>
              </w:rPr>
              <w:t>2</w:t>
            </w:r>
          </w:p>
        </w:tc>
        <w:tc>
          <w:tcPr>
            <w:tcW w:w="1051" w:type="dxa"/>
            <w:vAlign w:val="center"/>
          </w:tcPr>
          <w:p>
            <w:pPr>
              <w:adjustRightInd/>
              <w:snapToGrid/>
              <w:spacing w:line="240" w:lineRule="auto"/>
              <w:jc w:val="center"/>
              <w:rPr>
                <w:rFonts w:eastAsia="宋体"/>
                <w:sz w:val="22"/>
              </w:rPr>
            </w:pPr>
            <w:r>
              <w:rPr>
                <w:rFonts w:hint="eastAsia"/>
                <w:sz w:val="22"/>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214" w:type="dxa"/>
            <w:vMerge w:val="continue"/>
            <w:vAlign w:val="center"/>
          </w:tcPr>
          <w:p>
            <w:pPr>
              <w:widowControl/>
              <w:adjustRightInd/>
              <w:snapToGrid/>
              <w:spacing w:line="240" w:lineRule="auto"/>
              <w:jc w:val="center"/>
              <w:rPr>
                <w:rFonts w:eastAsia="宋体"/>
                <w:sz w:val="22"/>
              </w:rPr>
            </w:pPr>
          </w:p>
        </w:tc>
        <w:tc>
          <w:tcPr>
            <w:tcW w:w="952" w:type="dxa"/>
            <w:vAlign w:val="center"/>
          </w:tcPr>
          <w:p>
            <w:pPr>
              <w:adjustRightInd/>
              <w:snapToGrid/>
              <w:spacing w:line="240" w:lineRule="auto"/>
              <w:jc w:val="center"/>
              <w:rPr>
                <w:rFonts w:eastAsia="宋体"/>
                <w:sz w:val="22"/>
              </w:rPr>
            </w:pPr>
            <w:r>
              <w:rPr>
                <w:sz w:val="22"/>
              </w:rPr>
              <w:t>1</w:t>
            </w:r>
            <w:r>
              <w:rPr>
                <w:rFonts w:hint="eastAsia"/>
                <w:sz w:val="22"/>
              </w:rPr>
              <w:t>6:00</w:t>
            </w:r>
          </w:p>
        </w:tc>
        <w:tc>
          <w:tcPr>
            <w:tcW w:w="1116" w:type="dxa"/>
            <w:vAlign w:val="center"/>
          </w:tcPr>
          <w:p>
            <w:pPr>
              <w:adjustRightInd/>
              <w:snapToGrid/>
              <w:spacing w:line="240" w:lineRule="auto"/>
              <w:jc w:val="center"/>
              <w:rPr>
                <w:rFonts w:eastAsia="宋体"/>
                <w:sz w:val="22"/>
              </w:rPr>
            </w:pPr>
            <w:r>
              <w:rPr>
                <w:rFonts w:hint="eastAsia"/>
                <w:sz w:val="22"/>
              </w:rPr>
              <w:t>7.7</w:t>
            </w:r>
          </w:p>
        </w:tc>
        <w:tc>
          <w:tcPr>
            <w:tcW w:w="1255" w:type="dxa"/>
            <w:vAlign w:val="center"/>
          </w:tcPr>
          <w:p>
            <w:pPr>
              <w:adjustRightInd/>
              <w:snapToGrid/>
              <w:spacing w:line="240" w:lineRule="auto"/>
              <w:jc w:val="center"/>
              <w:rPr>
                <w:rFonts w:eastAsia="宋体"/>
                <w:sz w:val="22"/>
              </w:rPr>
            </w:pPr>
            <w:r>
              <w:rPr>
                <w:rFonts w:hint="eastAsia"/>
                <w:sz w:val="22"/>
              </w:rPr>
              <w:t>102.5</w:t>
            </w:r>
          </w:p>
        </w:tc>
        <w:tc>
          <w:tcPr>
            <w:tcW w:w="1256" w:type="dxa"/>
            <w:vAlign w:val="center"/>
          </w:tcPr>
          <w:p>
            <w:pPr>
              <w:adjustRightInd/>
              <w:snapToGrid/>
              <w:spacing w:line="240" w:lineRule="auto"/>
              <w:jc w:val="center"/>
              <w:rPr>
                <w:rFonts w:eastAsia="楷体_GB2312"/>
                <w:color w:val="000000"/>
                <w:sz w:val="22"/>
              </w:rPr>
            </w:pPr>
            <w:r>
              <w:rPr>
                <w:rFonts w:hint="eastAsia"/>
                <w:sz w:val="22"/>
              </w:rPr>
              <w:t>2.0</w:t>
            </w:r>
          </w:p>
        </w:tc>
        <w:tc>
          <w:tcPr>
            <w:tcW w:w="975" w:type="dxa"/>
            <w:vAlign w:val="center"/>
          </w:tcPr>
          <w:p>
            <w:pPr>
              <w:adjustRightInd/>
              <w:snapToGrid/>
              <w:spacing w:line="240" w:lineRule="auto"/>
              <w:jc w:val="center"/>
              <w:rPr>
                <w:rFonts w:eastAsia="宋体"/>
                <w:sz w:val="22"/>
              </w:rPr>
            </w:pPr>
            <w:r>
              <w:rPr>
                <w:rFonts w:hint="eastAsia"/>
                <w:sz w:val="22"/>
              </w:rPr>
              <w:t>S</w:t>
            </w:r>
          </w:p>
        </w:tc>
        <w:tc>
          <w:tcPr>
            <w:tcW w:w="1051" w:type="dxa"/>
            <w:vAlign w:val="center"/>
          </w:tcPr>
          <w:p>
            <w:pPr>
              <w:adjustRightInd/>
              <w:snapToGrid/>
              <w:spacing w:line="240" w:lineRule="auto"/>
              <w:jc w:val="center"/>
              <w:rPr>
                <w:rFonts w:eastAsia="宋体"/>
                <w:sz w:val="22"/>
              </w:rPr>
            </w:pPr>
            <w:r>
              <w:rPr>
                <w:rFonts w:hint="eastAsia"/>
                <w:sz w:val="22"/>
              </w:rPr>
              <w:t>4</w:t>
            </w:r>
          </w:p>
        </w:tc>
        <w:tc>
          <w:tcPr>
            <w:tcW w:w="1051" w:type="dxa"/>
            <w:vAlign w:val="center"/>
          </w:tcPr>
          <w:p>
            <w:pPr>
              <w:adjustRightInd/>
              <w:snapToGrid/>
              <w:spacing w:line="240" w:lineRule="auto"/>
              <w:jc w:val="center"/>
              <w:rPr>
                <w:rFonts w:eastAsia="宋体"/>
                <w:sz w:val="22"/>
              </w:rPr>
            </w:pPr>
            <w:r>
              <w:rPr>
                <w:rFonts w:hint="eastAsia"/>
                <w:sz w:val="22"/>
              </w:rPr>
              <w:t>2</w:t>
            </w:r>
          </w:p>
        </w:tc>
      </w:tr>
    </w:tbl>
    <w:p>
      <w:pPr>
        <w:widowControl/>
        <w:shd w:val="clear" w:color="auto" w:fill="FFFFFF"/>
        <w:ind w:firstLine="520"/>
        <w:rPr>
          <w:color w:val="3E3E3E"/>
          <w:kern w:val="0"/>
          <w:szCs w:val="26"/>
        </w:rPr>
      </w:pPr>
      <w:r>
        <w:rPr>
          <w:rFonts w:hint="eastAsia"/>
          <w:color w:val="000000"/>
          <w:kern w:val="0"/>
          <w:szCs w:val="26"/>
        </w:rPr>
        <w:t>3</w:t>
      </w:r>
      <w:r>
        <w:rPr>
          <w:color w:val="000000"/>
          <w:kern w:val="0"/>
          <w:szCs w:val="26"/>
        </w:rPr>
        <w:t>）</w:t>
      </w:r>
      <w:r>
        <w:rPr>
          <w:rFonts w:hint="eastAsia"/>
          <w:color w:val="000000"/>
          <w:kern w:val="0"/>
          <w:szCs w:val="26"/>
        </w:rPr>
        <w:t>废气达标</w:t>
      </w:r>
      <w:r>
        <w:rPr>
          <w:color w:val="000000"/>
          <w:kern w:val="0"/>
          <w:szCs w:val="26"/>
        </w:rPr>
        <w:t>排放</w:t>
      </w:r>
      <w:r>
        <w:rPr>
          <w:rFonts w:hint="eastAsia"/>
          <w:color w:val="000000"/>
          <w:kern w:val="0"/>
          <w:szCs w:val="26"/>
        </w:rPr>
        <w:t>情况</w:t>
      </w:r>
    </w:p>
    <w:p>
      <w:pPr>
        <w:widowControl/>
        <w:shd w:val="clear" w:color="auto" w:fill="FFFFFF"/>
        <w:ind w:firstLine="520" w:firstLineChars="200"/>
        <w:rPr>
          <w:color w:val="000000"/>
          <w:kern w:val="0"/>
          <w:szCs w:val="26"/>
        </w:rPr>
      </w:pPr>
      <w:r>
        <w:rPr>
          <w:color w:val="000000"/>
          <w:kern w:val="0"/>
          <w:szCs w:val="26"/>
        </w:rPr>
        <w:t>经连续两天监测：2017年</w:t>
      </w:r>
      <w:r>
        <w:rPr>
          <w:rFonts w:hint="eastAsia"/>
          <w:color w:val="000000"/>
          <w:kern w:val="0"/>
          <w:szCs w:val="26"/>
        </w:rPr>
        <w:t>12</w:t>
      </w:r>
      <w:r>
        <w:rPr>
          <w:color w:val="000000"/>
          <w:kern w:val="0"/>
          <w:szCs w:val="26"/>
        </w:rPr>
        <w:t>月</w:t>
      </w:r>
      <w:r>
        <w:rPr>
          <w:rFonts w:hint="eastAsia"/>
          <w:color w:val="000000"/>
          <w:kern w:val="0"/>
          <w:szCs w:val="26"/>
        </w:rPr>
        <w:t>21</w:t>
      </w:r>
      <w:r>
        <w:rPr>
          <w:color w:val="000000"/>
          <w:kern w:val="0"/>
          <w:szCs w:val="26"/>
        </w:rPr>
        <w:t>日至</w:t>
      </w:r>
      <w:r>
        <w:rPr>
          <w:rFonts w:hint="eastAsia"/>
          <w:color w:val="000000"/>
          <w:kern w:val="0"/>
          <w:szCs w:val="26"/>
        </w:rPr>
        <w:t>22</w:t>
      </w:r>
      <w:r>
        <w:rPr>
          <w:color w:val="000000"/>
          <w:kern w:val="0"/>
          <w:szCs w:val="26"/>
        </w:rPr>
        <w:t>日，</w:t>
      </w:r>
      <w:r>
        <w:rPr>
          <w:rFonts w:hint="eastAsia"/>
          <w:color w:val="000000"/>
          <w:kern w:val="0"/>
          <w:szCs w:val="26"/>
        </w:rPr>
        <w:t>贴面工序废气排气筒中非甲烷总烃排放浓度最大值为5.23mg/m</w:t>
      </w:r>
      <w:r>
        <w:rPr>
          <w:rFonts w:hint="eastAsia"/>
          <w:color w:val="000000"/>
          <w:kern w:val="0"/>
          <w:szCs w:val="26"/>
          <w:vertAlign w:val="superscript"/>
        </w:rPr>
        <w:t>3</w:t>
      </w:r>
      <w:r>
        <w:rPr>
          <w:rFonts w:hint="eastAsia"/>
          <w:color w:val="000000"/>
          <w:kern w:val="0"/>
          <w:szCs w:val="26"/>
        </w:rPr>
        <w:t>，排放速率最大值为3.04</w:t>
      </w:r>
      <w:r>
        <w:rPr>
          <w:color w:val="000000"/>
          <w:kern w:val="0"/>
          <w:szCs w:val="26"/>
        </w:rPr>
        <w:t>×10</w:t>
      </w:r>
      <w:r>
        <w:rPr>
          <w:color w:val="000000"/>
          <w:kern w:val="0"/>
          <w:szCs w:val="26"/>
          <w:vertAlign w:val="superscript"/>
        </w:rPr>
        <w:t>-2</w:t>
      </w:r>
      <w:r>
        <w:rPr>
          <w:rFonts w:hint="eastAsia"/>
          <w:color w:val="000000"/>
          <w:kern w:val="0"/>
          <w:szCs w:val="26"/>
        </w:rPr>
        <w:t>kg/h；切割工序废气排气筒中颗粒物排放浓度最大值为8.0mg/m</w:t>
      </w:r>
      <w:r>
        <w:rPr>
          <w:rFonts w:hint="eastAsia"/>
          <w:color w:val="000000"/>
          <w:kern w:val="0"/>
          <w:szCs w:val="26"/>
          <w:vertAlign w:val="superscript"/>
        </w:rPr>
        <w:t>3</w:t>
      </w:r>
      <w:r>
        <w:rPr>
          <w:rFonts w:hint="eastAsia"/>
          <w:color w:val="000000"/>
          <w:kern w:val="0"/>
          <w:szCs w:val="26"/>
        </w:rPr>
        <w:t>，排放速率最大值为4.79</w:t>
      </w:r>
      <w:r>
        <w:rPr>
          <w:color w:val="000000"/>
          <w:kern w:val="0"/>
          <w:szCs w:val="26"/>
        </w:rPr>
        <w:t>×10</w:t>
      </w:r>
      <w:r>
        <w:rPr>
          <w:color w:val="000000"/>
          <w:kern w:val="0"/>
          <w:szCs w:val="26"/>
          <w:vertAlign w:val="superscript"/>
        </w:rPr>
        <w:t>-</w:t>
      </w:r>
      <w:r>
        <w:rPr>
          <w:rFonts w:hint="eastAsia"/>
          <w:color w:val="000000"/>
          <w:kern w:val="0"/>
          <w:szCs w:val="26"/>
          <w:vertAlign w:val="superscript"/>
        </w:rPr>
        <w:t>2</w:t>
      </w:r>
      <w:r>
        <w:rPr>
          <w:rFonts w:hint="eastAsia"/>
          <w:color w:val="000000"/>
          <w:kern w:val="0"/>
          <w:szCs w:val="26"/>
        </w:rPr>
        <w:t>kg/h。</w:t>
      </w:r>
    </w:p>
    <w:p>
      <w:pPr>
        <w:widowControl/>
        <w:shd w:val="clear" w:color="auto" w:fill="FFFFFF"/>
        <w:ind w:firstLine="520" w:firstLineChars="200"/>
        <w:rPr>
          <w:color w:val="000000"/>
          <w:kern w:val="0"/>
          <w:szCs w:val="26"/>
        </w:rPr>
      </w:pPr>
      <w:r>
        <w:rPr>
          <w:rFonts w:hint="eastAsia"/>
          <w:color w:val="000000"/>
          <w:kern w:val="0"/>
          <w:szCs w:val="26"/>
        </w:rPr>
        <w:t>厂界无组织颗粒物</w:t>
      </w:r>
      <w:r>
        <w:rPr>
          <w:color w:val="000000"/>
          <w:kern w:val="0"/>
          <w:szCs w:val="26"/>
        </w:rPr>
        <w:t>浓度最大值为</w:t>
      </w:r>
      <w:r>
        <w:rPr>
          <w:rFonts w:hint="eastAsia"/>
          <w:color w:val="000000"/>
          <w:kern w:val="0"/>
          <w:szCs w:val="26"/>
        </w:rPr>
        <w:t>为0.506</w:t>
      </w:r>
      <w:r>
        <w:rPr>
          <w:color w:val="000000"/>
          <w:kern w:val="0"/>
          <w:szCs w:val="26"/>
        </w:rPr>
        <w:t>mg/m</w:t>
      </w:r>
      <w:r>
        <w:rPr>
          <w:color w:val="000000"/>
          <w:kern w:val="0"/>
          <w:szCs w:val="26"/>
          <w:vertAlign w:val="superscript"/>
        </w:rPr>
        <w:t>3</w:t>
      </w:r>
      <w:r>
        <w:rPr>
          <w:rFonts w:hint="eastAsia"/>
          <w:color w:val="000000"/>
          <w:kern w:val="0"/>
          <w:szCs w:val="26"/>
        </w:rPr>
        <w:t>，无组织非甲烷总烃</w:t>
      </w:r>
      <w:r>
        <w:rPr>
          <w:color w:val="000000"/>
          <w:kern w:val="0"/>
          <w:szCs w:val="26"/>
        </w:rPr>
        <w:t>浓度最大值为</w:t>
      </w:r>
      <w:r>
        <w:rPr>
          <w:rFonts w:hint="eastAsia"/>
          <w:color w:val="000000"/>
          <w:kern w:val="0"/>
          <w:szCs w:val="26"/>
        </w:rPr>
        <w:t>为0.80</w:t>
      </w:r>
      <w:r>
        <w:rPr>
          <w:color w:val="000000"/>
          <w:kern w:val="0"/>
          <w:szCs w:val="26"/>
        </w:rPr>
        <w:t>mg/m</w:t>
      </w:r>
      <w:r>
        <w:rPr>
          <w:color w:val="000000"/>
          <w:kern w:val="0"/>
          <w:szCs w:val="26"/>
          <w:vertAlign w:val="superscript"/>
        </w:rPr>
        <w:t>3</w:t>
      </w:r>
      <w:r>
        <w:rPr>
          <w:rFonts w:hint="eastAsia"/>
          <w:color w:val="000000"/>
          <w:kern w:val="0"/>
          <w:szCs w:val="26"/>
        </w:rPr>
        <w:t>。</w:t>
      </w:r>
    </w:p>
    <w:p>
      <w:pPr>
        <w:widowControl/>
        <w:shd w:val="clear" w:color="auto" w:fill="FFFFFF"/>
        <w:ind w:firstLine="520" w:firstLineChars="200"/>
        <w:rPr>
          <w:color w:val="000000"/>
          <w:kern w:val="0"/>
          <w:szCs w:val="26"/>
        </w:rPr>
      </w:pPr>
      <w:r>
        <w:rPr>
          <w:rFonts w:hint="eastAsia"/>
          <w:color w:val="000000"/>
          <w:kern w:val="0"/>
          <w:szCs w:val="26"/>
        </w:rPr>
        <w:t>监测结果显示：贴面工序废气中非甲烷总烃排放满足《大气污染物综合排放标准》（GB 16297-1996）表2二级标准要求；切割工序废气排气筒中颗粒物排放满足《山东省区域性大气污染物综合排放标准》表2“重点控制区”限值要求，颗粒物排放速率满足《大气污染物综合排放标准》（GB 16297-1996）表2中二级标准要求；无组织废气满足</w:t>
      </w:r>
      <w:r>
        <w:rPr>
          <w:color w:val="000000"/>
          <w:kern w:val="0"/>
          <w:szCs w:val="26"/>
        </w:rPr>
        <w:t>《大气污染物综合排放标准》（GB 16297-1996）表2中无组织排放标准要求</w:t>
      </w:r>
      <w:r>
        <w:rPr>
          <w:rFonts w:hint="eastAsia"/>
          <w:color w:val="000000"/>
          <w:kern w:val="0"/>
          <w:szCs w:val="26"/>
        </w:rPr>
        <w:t>。</w:t>
      </w:r>
    </w:p>
    <w:p>
      <w:pPr>
        <w:pStyle w:val="5"/>
        <w:ind w:firstLine="560"/>
      </w:pPr>
      <w:r>
        <w:pict>
          <v:rect id="_x0000_s1183" o:spid="_x0000_s1183" o:spt="1" style="position:absolute;left:0pt;margin-left:411.9pt;margin-top:0pt;height:18.7pt;width:20.25pt;z-index:251661312;mso-width-relative:page;mso-height-relative:page;" filled="f" stroked="f" coordsize="21600,21600">
            <v:path/>
            <v:fill on="f" focussize="0,0"/>
            <v:stroke on="f" color="#FFFFFF"/>
            <v:imagedata o:title=""/>
            <o:lock v:ext="edit"/>
            <v:textbox>
              <w:txbxContent>
                <w:p>
                  <w:pPr>
                    <w:ind w:firstLine="520"/>
                  </w:pPr>
                  <w:r>
                    <w:rPr>
                      <w:rFonts w:hint="eastAsia"/>
                    </w:rPr>
                    <w:t>N</w:t>
                  </w:r>
                </w:p>
              </w:txbxContent>
            </v:textbox>
          </v:rect>
        </w:pict>
      </w:r>
      <w:r>
        <w:t>9.2.</w:t>
      </w:r>
      <w:r>
        <w:rPr>
          <w:rFonts w:hint="eastAsia"/>
        </w:rPr>
        <w:t xml:space="preserve">1.2  </w:t>
      </w:r>
      <w:r>
        <w:t>厂界噪声</w:t>
      </w:r>
    </w:p>
    <w:p>
      <w:pPr>
        <w:widowControl/>
        <w:shd w:val="clear" w:color="auto" w:fill="FFFFFF"/>
        <w:ind w:firstLine="520"/>
        <w:jc w:val="center"/>
        <w:rPr>
          <w:color w:val="000000"/>
          <w:kern w:val="0"/>
          <w:szCs w:val="26"/>
        </w:rPr>
      </w:pPr>
      <w:r>
        <w:rPr>
          <w:color w:val="000000"/>
          <w:kern w:val="0"/>
          <w:szCs w:val="26"/>
        </w:rPr>
        <w:t>噪声监测结果表</w:t>
      </w:r>
    </w:p>
    <w:tbl>
      <w:tblPr>
        <w:tblStyle w:val="47"/>
        <w:tblW w:w="84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2153"/>
        <w:gridCol w:w="2135"/>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2017" w:type="dxa"/>
            <w:vMerge w:val="restart"/>
            <w:vAlign w:val="center"/>
          </w:tcPr>
          <w:p>
            <w:pPr>
              <w:adjustRightInd/>
              <w:snapToGrid/>
              <w:spacing w:line="240" w:lineRule="auto"/>
              <w:jc w:val="center"/>
              <w:rPr>
                <w:rFonts w:eastAsia="黑体"/>
                <w:sz w:val="22"/>
                <w:szCs w:val="20"/>
              </w:rPr>
            </w:pPr>
            <w:r>
              <w:rPr>
                <w:rFonts w:eastAsia="黑体"/>
                <w:sz w:val="22"/>
                <w:szCs w:val="20"/>
              </w:rPr>
              <w:t>监测日期</w:t>
            </w:r>
          </w:p>
        </w:tc>
        <w:tc>
          <w:tcPr>
            <w:tcW w:w="2153" w:type="dxa"/>
            <w:vMerge w:val="restart"/>
            <w:vAlign w:val="center"/>
          </w:tcPr>
          <w:p>
            <w:pPr>
              <w:adjustRightInd/>
              <w:snapToGrid/>
              <w:spacing w:line="240" w:lineRule="auto"/>
              <w:jc w:val="center"/>
              <w:rPr>
                <w:rFonts w:eastAsia="黑体"/>
                <w:sz w:val="22"/>
                <w:szCs w:val="20"/>
              </w:rPr>
            </w:pPr>
            <w:r>
              <w:rPr>
                <w:rFonts w:eastAsia="黑体"/>
                <w:sz w:val="22"/>
                <w:szCs w:val="20"/>
              </w:rPr>
              <w:t>监测点位</w:t>
            </w:r>
          </w:p>
        </w:tc>
        <w:tc>
          <w:tcPr>
            <w:tcW w:w="4271" w:type="dxa"/>
            <w:gridSpan w:val="2"/>
            <w:vAlign w:val="center"/>
          </w:tcPr>
          <w:p>
            <w:pPr>
              <w:adjustRightInd/>
              <w:snapToGrid/>
              <w:spacing w:line="240" w:lineRule="auto"/>
              <w:jc w:val="center"/>
              <w:rPr>
                <w:rFonts w:eastAsia="黑体"/>
                <w:sz w:val="22"/>
                <w:szCs w:val="20"/>
              </w:rPr>
            </w:pPr>
            <w:r>
              <w:rPr>
                <w:rFonts w:eastAsia="黑体"/>
                <w:sz w:val="22"/>
                <w:szCs w:val="20"/>
              </w:rPr>
              <w:t>监测结果L</w:t>
            </w:r>
            <w:r>
              <w:rPr>
                <w:rFonts w:hint="eastAsia" w:eastAsia="黑体"/>
                <w:sz w:val="22"/>
                <w:szCs w:val="20"/>
                <w:vertAlign w:val="subscript"/>
              </w:rPr>
              <w:t>e</w:t>
            </w:r>
            <w:r>
              <w:rPr>
                <w:rFonts w:eastAsia="黑体"/>
                <w:sz w:val="22"/>
                <w:szCs w:val="20"/>
                <w:vertAlign w:val="subscript"/>
              </w:rPr>
              <w:t>q</w:t>
            </w:r>
            <w:r>
              <w:rPr>
                <w:rFonts w:eastAsia="黑体"/>
                <w:sz w:val="22"/>
                <w:szCs w:val="20"/>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2017" w:type="dxa"/>
            <w:vMerge w:val="continue"/>
            <w:vAlign w:val="center"/>
          </w:tcPr>
          <w:p>
            <w:pPr>
              <w:adjustRightInd/>
              <w:snapToGrid/>
              <w:spacing w:line="240" w:lineRule="auto"/>
              <w:jc w:val="center"/>
              <w:rPr>
                <w:rFonts w:eastAsia="黑体"/>
                <w:b/>
                <w:sz w:val="22"/>
                <w:szCs w:val="20"/>
              </w:rPr>
            </w:pPr>
          </w:p>
        </w:tc>
        <w:tc>
          <w:tcPr>
            <w:tcW w:w="2153" w:type="dxa"/>
            <w:vMerge w:val="continue"/>
            <w:vAlign w:val="center"/>
          </w:tcPr>
          <w:p>
            <w:pPr>
              <w:adjustRightInd/>
              <w:snapToGrid/>
              <w:spacing w:line="240" w:lineRule="auto"/>
              <w:jc w:val="center"/>
              <w:rPr>
                <w:rFonts w:eastAsia="黑体"/>
                <w:b/>
                <w:sz w:val="22"/>
                <w:szCs w:val="20"/>
              </w:rPr>
            </w:pPr>
          </w:p>
        </w:tc>
        <w:tc>
          <w:tcPr>
            <w:tcW w:w="2135" w:type="dxa"/>
            <w:vAlign w:val="center"/>
          </w:tcPr>
          <w:p>
            <w:pPr>
              <w:adjustRightInd/>
              <w:snapToGrid/>
              <w:spacing w:line="240" w:lineRule="auto"/>
              <w:jc w:val="center"/>
              <w:rPr>
                <w:rFonts w:eastAsia="黑体"/>
                <w:sz w:val="22"/>
                <w:szCs w:val="20"/>
              </w:rPr>
            </w:pPr>
            <w:r>
              <w:rPr>
                <w:rFonts w:eastAsia="黑体"/>
                <w:sz w:val="22"/>
                <w:szCs w:val="20"/>
              </w:rPr>
              <w:t>昼间</w:t>
            </w:r>
          </w:p>
        </w:tc>
        <w:tc>
          <w:tcPr>
            <w:tcW w:w="2136" w:type="dxa"/>
            <w:vAlign w:val="center"/>
          </w:tcPr>
          <w:p>
            <w:pPr>
              <w:adjustRightInd/>
              <w:snapToGrid/>
              <w:spacing w:line="240" w:lineRule="auto"/>
              <w:jc w:val="center"/>
              <w:rPr>
                <w:rFonts w:eastAsia="黑体"/>
                <w:sz w:val="22"/>
                <w:szCs w:val="20"/>
              </w:rPr>
            </w:pPr>
            <w:r>
              <w:rPr>
                <w:rFonts w:eastAsia="黑体"/>
                <w:sz w:val="22"/>
                <w:szCs w:val="2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2017" w:type="dxa"/>
            <w:vMerge w:val="restart"/>
            <w:vAlign w:val="center"/>
          </w:tcPr>
          <w:p>
            <w:pPr>
              <w:adjustRightInd/>
              <w:snapToGrid/>
              <w:spacing w:line="240" w:lineRule="auto"/>
              <w:jc w:val="center"/>
              <w:rPr>
                <w:rFonts w:eastAsia="宋体"/>
                <w:sz w:val="22"/>
                <w:szCs w:val="21"/>
              </w:rPr>
            </w:pPr>
            <w:r>
              <w:rPr>
                <w:rFonts w:eastAsia="宋体"/>
                <w:sz w:val="22"/>
                <w:szCs w:val="21"/>
              </w:rPr>
              <w:t>2017.12.21</w:t>
            </w:r>
          </w:p>
        </w:tc>
        <w:tc>
          <w:tcPr>
            <w:tcW w:w="2153" w:type="dxa"/>
            <w:vAlign w:val="center"/>
          </w:tcPr>
          <w:p>
            <w:pPr>
              <w:adjustRightInd/>
              <w:snapToGrid/>
              <w:spacing w:line="240" w:lineRule="auto"/>
              <w:jc w:val="center"/>
              <w:rPr>
                <w:rFonts w:eastAsia="宋体"/>
                <w:sz w:val="22"/>
                <w:szCs w:val="21"/>
              </w:rPr>
            </w:pPr>
            <w:r>
              <w:rPr>
                <w:rFonts w:eastAsia="宋体"/>
                <w:sz w:val="22"/>
                <w:szCs w:val="21"/>
              </w:rPr>
              <w:t>1#</w:t>
            </w:r>
            <w:r>
              <w:rPr>
                <w:rFonts w:eastAsia="宋体"/>
                <w:sz w:val="22"/>
                <w:szCs w:val="20"/>
              </w:rPr>
              <w:t xml:space="preserve"> 东厂界</w:t>
            </w:r>
          </w:p>
        </w:tc>
        <w:tc>
          <w:tcPr>
            <w:tcW w:w="2135" w:type="dxa"/>
            <w:vAlign w:val="center"/>
          </w:tcPr>
          <w:p>
            <w:pPr>
              <w:spacing w:line="240" w:lineRule="auto"/>
              <w:jc w:val="center"/>
              <w:rPr>
                <w:sz w:val="22"/>
              </w:rPr>
            </w:pPr>
            <w:r>
              <w:rPr>
                <w:sz w:val="22"/>
              </w:rPr>
              <w:t>5</w:t>
            </w:r>
            <w:r>
              <w:rPr>
                <w:rFonts w:hint="eastAsia"/>
                <w:sz w:val="22"/>
              </w:rPr>
              <w:t>6.5</w:t>
            </w:r>
          </w:p>
        </w:tc>
        <w:tc>
          <w:tcPr>
            <w:tcW w:w="2136" w:type="dxa"/>
            <w:vAlign w:val="center"/>
          </w:tcPr>
          <w:p>
            <w:pPr>
              <w:spacing w:line="240" w:lineRule="auto"/>
              <w:jc w:val="center"/>
              <w:rPr>
                <w:sz w:val="22"/>
              </w:rPr>
            </w:pPr>
            <w:r>
              <w:rPr>
                <w:sz w:val="22"/>
              </w:rPr>
              <w:t>4</w:t>
            </w:r>
            <w:r>
              <w:rPr>
                <w:rFonts w:hint="eastAsia"/>
                <w:sz w:val="22"/>
              </w:rPr>
              <w:t>5</w:t>
            </w:r>
            <w:r>
              <w:rPr>
                <w:sz w:val="22"/>
              </w:rPr>
              <w:t>.</w:t>
            </w:r>
            <w:r>
              <w:rPr>
                <w:rFonts w:hint="eastAsia"/>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2017" w:type="dxa"/>
            <w:vMerge w:val="continue"/>
            <w:vAlign w:val="center"/>
          </w:tcPr>
          <w:p>
            <w:pPr>
              <w:adjustRightInd/>
              <w:snapToGrid/>
              <w:spacing w:line="240" w:lineRule="auto"/>
              <w:jc w:val="center"/>
              <w:outlineLvl w:val="0"/>
              <w:rPr>
                <w:rFonts w:eastAsia="宋体"/>
                <w:sz w:val="22"/>
                <w:szCs w:val="21"/>
              </w:rPr>
            </w:pPr>
          </w:p>
        </w:tc>
        <w:tc>
          <w:tcPr>
            <w:tcW w:w="2153" w:type="dxa"/>
            <w:vAlign w:val="center"/>
          </w:tcPr>
          <w:p>
            <w:pPr>
              <w:adjustRightInd/>
              <w:snapToGrid/>
              <w:spacing w:line="240" w:lineRule="auto"/>
              <w:jc w:val="center"/>
              <w:rPr>
                <w:rFonts w:eastAsia="宋体"/>
                <w:sz w:val="22"/>
                <w:szCs w:val="21"/>
              </w:rPr>
            </w:pPr>
            <w:r>
              <w:rPr>
                <w:rFonts w:eastAsia="宋体"/>
                <w:sz w:val="22"/>
                <w:szCs w:val="21"/>
              </w:rPr>
              <w:t xml:space="preserve">2# </w:t>
            </w:r>
            <w:r>
              <w:rPr>
                <w:rFonts w:eastAsia="宋体"/>
                <w:sz w:val="22"/>
                <w:szCs w:val="20"/>
              </w:rPr>
              <w:t>南厂界</w:t>
            </w:r>
          </w:p>
        </w:tc>
        <w:tc>
          <w:tcPr>
            <w:tcW w:w="2135" w:type="dxa"/>
            <w:vAlign w:val="center"/>
          </w:tcPr>
          <w:p>
            <w:pPr>
              <w:spacing w:line="240" w:lineRule="auto"/>
              <w:jc w:val="center"/>
              <w:rPr>
                <w:rFonts w:ascii="宋体" w:hAnsi="宋体" w:cs="宋体"/>
                <w:sz w:val="22"/>
              </w:rPr>
            </w:pPr>
            <w:r>
              <w:rPr>
                <w:sz w:val="22"/>
              </w:rPr>
              <w:t>5</w:t>
            </w:r>
            <w:r>
              <w:rPr>
                <w:rFonts w:hint="eastAsia"/>
                <w:sz w:val="22"/>
              </w:rPr>
              <w:t>8.3</w:t>
            </w:r>
          </w:p>
        </w:tc>
        <w:tc>
          <w:tcPr>
            <w:tcW w:w="2136" w:type="dxa"/>
            <w:vAlign w:val="center"/>
          </w:tcPr>
          <w:p>
            <w:pPr>
              <w:spacing w:line="240" w:lineRule="auto"/>
              <w:jc w:val="center"/>
              <w:rPr>
                <w:rFonts w:ascii="宋体" w:hAnsi="宋体" w:cs="宋体"/>
                <w:sz w:val="22"/>
              </w:rPr>
            </w:pPr>
            <w:r>
              <w:rPr>
                <w:rFonts w:hint="eastAsia"/>
                <w:sz w:val="22"/>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2017" w:type="dxa"/>
            <w:vMerge w:val="continue"/>
            <w:vAlign w:val="center"/>
          </w:tcPr>
          <w:p>
            <w:pPr>
              <w:adjustRightInd/>
              <w:snapToGrid/>
              <w:spacing w:line="240" w:lineRule="auto"/>
              <w:jc w:val="center"/>
              <w:outlineLvl w:val="0"/>
              <w:rPr>
                <w:rFonts w:eastAsia="宋体"/>
                <w:sz w:val="22"/>
                <w:szCs w:val="21"/>
              </w:rPr>
            </w:pPr>
          </w:p>
        </w:tc>
        <w:tc>
          <w:tcPr>
            <w:tcW w:w="2153" w:type="dxa"/>
            <w:vAlign w:val="center"/>
          </w:tcPr>
          <w:p>
            <w:pPr>
              <w:adjustRightInd/>
              <w:snapToGrid/>
              <w:spacing w:line="240" w:lineRule="auto"/>
              <w:jc w:val="center"/>
              <w:rPr>
                <w:rFonts w:eastAsia="宋体"/>
                <w:sz w:val="22"/>
                <w:szCs w:val="21"/>
              </w:rPr>
            </w:pPr>
            <w:r>
              <w:rPr>
                <w:rFonts w:eastAsia="宋体"/>
                <w:sz w:val="22"/>
                <w:szCs w:val="21"/>
              </w:rPr>
              <w:t xml:space="preserve">3# </w:t>
            </w:r>
            <w:r>
              <w:rPr>
                <w:rFonts w:eastAsia="宋体"/>
                <w:sz w:val="22"/>
                <w:szCs w:val="20"/>
              </w:rPr>
              <w:t>西厂界</w:t>
            </w:r>
          </w:p>
        </w:tc>
        <w:tc>
          <w:tcPr>
            <w:tcW w:w="2135" w:type="dxa"/>
            <w:vAlign w:val="center"/>
          </w:tcPr>
          <w:p>
            <w:pPr>
              <w:spacing w:line="240" w:lineRule="auto"/>
              <w:jc w:val="center"/>
              <w:rPr>
                <w:rFonts w:ascii="宋体" w:hAnsi="宋体" w:cs="宋体"/>
                <w:sz w:val="22"/>
              </w:rPr>
            </w:pPr>
            <w:r>
              <w:rPr>
                <w:sz w:val="22"/>
              </w:rPr>
              <w:t>5</w:t>
            </w:r>
            <w:r>
              <w:rPr>
                <w:rFonts w:hint="eastAsia"/>
                <w:sz w:val="22"/>
              </w:rPr>
              <w:t>9.4</w:t>
            </w:r>
          </w:p>
        </w:tc>
        <w:tc>
          <w:tcPr>
            <w:tcW w:w="2136" w:type="dxa"/>
            <w:vAlign w:val="center"/>
          </w:tcPr>
          <w:p>
            <w:pPr>
              <w:spacing w:line="240" w:lineRule="auto"/>
              <w:jc w:val="center"/>
              <w:rPr>
                <w:rFonts w:ascii="宋体" w:hAnsi="宋体" w:cs="宋体"/>
                <w:sz w:val="22"/>
              </w:rPr>
            </w:pPr>
            <w:r>
              <w:rPr>
                <w:sz w:val="22"/>
              </w:rPr>
              <w:t>4</w:t>
            </w:r>
            <w:r>
              <w:rPr>
                <w:rFonts w:hint="eastAsia"/>
                <w:sz w:val="22"/>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2017" w:type="dxa"/>
            <w:vMerge w:val="continue"/>
            <w:vAlign w:val="center"/>
          </w:tcPr>
          <w:p>
            <w:pPr>
              <w:adjustRightInd/>
              <w:snapToGrid/>
              <w:spacing w:line="240" w:lineRule="auto"/>
              <w:jc w:val="center"/>
              <w:outlineLvl w:val="0"/>
              <w:rPr>
                <w:rFonts w:eastAsia="宋体"/>
                <w:sz w:val="22"/>
                <w:szCs w:val="21"/>
              </w:rPr>
            </w:pPr>
          </w:p>
        </w:tc>
        <w:tc>
          <w:tcPr>
            <w:tcW w:w="2153" w:type="dxa"/>
            <w:vAlign w:val="center"/>
          </w:tcPr>
          <w:p>
            <w:pPr>
              <w:adjustRightInd/>
              <w:snapToGrid/>
              <w:spacing w:line="240" w:lineRule="auto"/>
              <w:jc w:val="center"/>
              <w:rPr>
                <w:rFonts w:eastAsia="宋体"/>
                <w:sz w:val="22"/>
                <w:szCs w:val="21"/>
              </w:rPr>
            </w:pPr>
            <w:r>
              <w:rPr>
                <w:rFonts w:eastAsia="宋体"/>
                <w:sz w:val="22"/>
                <w:szCs w:val="21"/>
              </w:rPr>
              <w:t>4# 北</w:t>
            </w:r>
            <w:r>
              <w:rPr>
                <w:rFonts w:eastAsia="宋体"/>
                <w:sz w:val="22"/>
                <w:szCs w:val="20"/>
              </w:rPr>
              <w:t>厂界</w:t>
            </w:r>
          </w:p>
        </w:tc>
        <w:tc>
          <w:tcPr>
            <w:tcW w:w="2135" w:type="dxa"/>
            <w:vAlign w:val="center"/>
          </w:tcPr>
          <w:p>
            <w:pPr>
              <w:spacing w:line="240" w:lineRule="auto"/>
              <w:jc w:val="center"/>
              <w:rPr>
                <w:rFonts w:ascii="宋体" w:hAnsi="宋体" w:cs="宋体"/>
                <w:sz w:val="22"/>
              </w:rPr>
            </w:pPr>
            <w:r>
              <w:rPr>
                <w:sz w:val="22"/>
              </w:rPr>
              <w:t>5</w:t>
            </w:r>
            <w:r>
              <w:rPr>
                <w:rFonts w:hint="eastAsia"/>
                <w:sz w:val="22"/>
              </w:rPr>
              <w:t>6.9</w:t>
            </w:r>
          </w:p>
        </w:tc>
        <w:tc>
          <w:tcPr>
            <w:tcW w:w="2136" w:type="dxa"/>
            <w:vAlign w:val="center"/>
          </w:tcPr>
          <w:p>
            <w:pPr>
              <w:spacing w:line="240" w:lineRule="auto"/>
              <w:jc w:val="center"/>
              <w:rPr>
                <w:rFonts w:ascii="宋体" w:hAnsi="宋体" w:cs="宋体"/>
                <w:sz w:val="22"/>
              </w:rPr>
            </w:pPr>
            <w:r>
              <w:rPr>
                <w:sz w:val="22"/>
              </w:rPr>
              <w:t>4</w:t>
            </w:r>
            <w:r>
              <w:rPr>
                <w:rFonts w:hint="eastAsia"/>
                <w:sz w:val="22"/>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2017" w:type="dxa"/>
            <w:vMerge w:val="restart"/>
            <w:vAlign w:val="center"/>
          </w:tcPr>
          <w:p>
            <w:pPr>
              <w:adjustRightInd/>
              <w:snapToGrid/>
              <w:spacing w:line="240" w:lineRule="auto"/>
              <w:jc w:val="center"/>
              <w:outlineLvl w:val="0"/>
              <w:rPr>
                <w:rFonts w:eastAsia="宋体"/>
                <w:sz w:val="22"/>
                <w:szCs w:val="21"/>
              </w:rPr>
            </w:pPr>
            <w:r>
              <w:rPr>
                <w:rFonts w:eastAsia="宋体"/>
                <w:sz w:val="22"/>
                <w:szCs w:val="21"/>
              </w:rPr>
              <w:t>2017.12.22</w:t>
            </w:r>
          </w:p>
        </w:tc>
        <w:tc>
          <w:tcPr>
            <w:tcW w:w="2153" w:type="dxa"/>
            <w:vAlign w:val="center"/>
          </w:tcPr>
          <w:p>
            <w:pPr>
              <w:adjustRightInd/>
              <w:snapToGrid/>
              <w:spacing w:line="240" w:lineRule="auto"/>
              <w:jc w:val="center"/>
              <w:rPr>
                <w:rFonts w:eastAsia="宋体"/>
                <w:sz w:val="22"/>
                <w:szCs w:val="21"/>
              </w:rPr>
            </w:pPr>
            <w:r>
              <w:rPr>
                <w:rFonts w:eastAsia="宋体"/>
                <w:sz w:val="22"/>
                <w:szCs w:val="21"/>
              </w:rPr>
              <w:t>1#</w:t>
            </w:r>
            <w:r>
              <w:rPr>
                <w:rFonts w:eastAsia="宋体"/>
                <w:sz w:val="22"/>
                <w:szCs w:val="20"/>
              </w:rPr>
              <w:t xml:space="preserve"> 东厂界</w:t>
            </w:r>
          </w:p>
        </w:tc>
        <w:tc>
          <w:tcPr>
            <w:tcW w:w="2135" w:type="dxa"/>
            <w:vAlign w:val="center"/>
          </w:tcPr>
          <w:p>
            <w:pPr>
              <w:spacing w:line="240" w:lineRule="auto"/>
              <w:jc w:val="center"/>
              <w:rPr>
                <w:sz w:val="22"/>
              </w:rPr>
            </w:pPr>
            <w:r>
              <w:rPr>
                <w:sz w:val="22"/>
              </w:rPr>
              <w:t>5</w:t>
            </w:r>
            <w:r>
              <w:rPr>
                <w:rFonts w:hint="eastAsia"/>
                <w:sz w:val="22"/>
              </w:rPr>
              <w:t>7.0</w:t>
            </w:r>
          </w:p>
        </w:tc>
        <w:tc>
          <w:tcPr>
            <w:tcW w:w="2136" w:type="dxa"/>
            <w:vAlign w:val="center"/>
          </w:tcPr>
          <w:p>
            <w:pPr>
              <w:spacing w:line="240" w:lineRule="auto"/>
              <w:jc w:val="center"/>
              <w:rPr>
                <w:sz w:val="22"/>
              </w:rPr>
            </w:pPr>
            <w:r>
              <w:rPr>
                <w:sz w:val="22"/>
              </w:rPr>
              <w:t>4</w:t>
            </w:r>
            <w:r>
              <w:rPr>
                <w:rFonts w:hint="eastAsia"/>
                <w:sz w:val="22"/>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2017" w:type="dxa"/>
            <w:vMerge w:val="continue"/>
            <w:vAlign w:val="center"/>
          </w:tcPr>
          <w:p>
            <w:pPr>
              <w:adjustRightInd/>
              <w:snapToGrid/>
              <w:spacing w:line="240" w:lineRule="auto"/>
              <w:jc w:val="center"/>
              <w:outlineLvl w:val="0"/>
              <w:rPr>
                <w:rFonts w:eastAsia="宋体"/>
                <w:sz w:val="22"/>
                <w:szCs w:val="21"/>
              </w:rPr>
            </w:pPr>
          </w:p>
        </w:tc>
        <w:tc>
          <w:tcPr>
            <w:tcW w:w="2153" w:type="dxa"/>
            <w:vAlign w:val="center"/>
          </w:tcPr>
          <w:p>
            <w:pPr>
              <w:adjustRightInd/>
              <w:snapToGrid/>
              <w:spacing w:line="240" w:lineRule="auto"/>
              <w:jc w:val="center"/>
              <w:rPr>
                <w:rFonts w:eastAsia="宋体"/>
                <w:sz w:val="22"/>
                <w:szCs w:val="21"/>
              </w:rPr>
            </w:pPr>
            <w:r>
              <w:rPr>
                <w:rFonts w:eastAsia="宋体"/>
                <w:sz w:val="22"/>
                <w:szCs w:val="21"/>
              </w:rPr>
              <w:t xml:space="preserve">2# </w:t>
            </w:r>
            <w:r>
              <w:rPr>
                <w:rFonts w:eastAsia="宋体"/>
                <w:sz w:val="22"/>
                <w:szCs w:val="20"/>
              </w:rPr>
              <w:t>南厂界</w:t>
            </w:r>
          </w:p>
        </w:tc>
        <w:tc>
          <w:tcPr>
            <w:tcW w:w="2135" w:type="dxa"/>
            <w:vAlign w:val="center"/>
          </w:tcPr>
          <w:p>
            <w:pPr>
              <w:spacing w:line="240" w:lineRule="auto"/>
              <w:jc w:val="center"/>
              <w:rPr>
                <w:sz w:val="22"/>
              </w:rPr>
            </w:pPr>
            <w:r>
              <w:rPr>
                <w:sz w:val="22"/>
              </w:rPr>
              <w:t>5</w:t>
            </w:r>
            <w:r>
              <w:rPr>
                <w:rFonts w:hint="eastAsia"/>
                <w:sz w:val="22"/>
              </w:rPr>
              <w:t>8.6</w:t>
            </w:r>
          </w:p>
        </w:tc>
        <w:tc>
          <w:tcPr>
            <w:tcW w:w="2136" w:type="dxa"/>
            <w:vAlign w:val="center"/>
          </w:tcPr>
          <w:p>
            <w:pPr>
              <w:spacing w:line="240" w:lineRule="auto"/>
              <w:jc w:val="center"/>
              <w:rPr>
                <w:sz w:val="22"/>
              </w:rPr>
            </w:pPr>
            <w:r>
              <w:rPr>
                <w:sz w:val="22"/>
              </w:rPr>
              <w:t>4</w:t>
            </w:r>
            <w:r>
              <w:rPr>
                <w:rFonts w:hint="eastAsia"/>
                <w:sz w:val="22"/>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2017" w:type="dxa"/>
            <w:vMerge w:val="continue"/>
            <w:vAlign w:val="center"/>
          </w:tcPr>
          <w:p>
            <w:pPr>
              <w:adjustRightInd/>
              <w:snapToGrid/>
              <w:spacing w:line="240" w:lineRule="auto"/>
              <w:jc w:val="center"/>
              <w:outlineLvl w:val="0"/>
              <w:rPr>
                <w:rFonts w:eastAsia="宋体"/>
                <w:sz w:val="22"/>
                <w:szCs w:val="21"/>
              </w:rPr>
            </w:pPr>
          </w:p>
        </w:tc>
        <w:tc>
          <w:tcPr>
            <w:tcW w:w="2153" w:type="dxa"/>
            <w:vAlign w:val="center"/>
          </w:tcPr>
          <w:p>
            <w:pPr>
              <w:adjustRightInd/>
              <w:snapToGrid/>
              <w:spacing w:line="240" w:lineRule="auto"/>
              <w:jc w:val="center"/>
              <w:rPr>
                <w:rFonts w:eastAsia="宋体"/>
                <w:sz w:val="22"/>
                <w:szCs w:val="21"/>
              </w:rPr>
            </w:pPr>
            <w:r>
              <w:rPr>
                <w:rFonts w:eastAsia="宋体"/>
                <w:sz w:val="22"/>
                <w:szCs w:val="21"/>
              </w:rPr>
              <w:t xml:space="preserve">3# </w:t>
            </w:r>
            <w:r>
              <w:rPr>
                <w:rFonts w:eastAsia="宋体"/>
                <w:sz w:val="22"/>
                <w:szCs w:val="20"/>
              </w:rPr>
              <w:t>西厂界</w:t>
            </w:r>
          </w:p>
        </w:tc>
        <w:tc>
          <w:tcPr>
            <w:tcW w:w="2135" w:type="dxa"/>
            <w:vAlign w:val="center"/>
          </w:tcPr>
          <w:p>
            <w:pPr>
              <w:spacing w:line="240" w:lineRule="auto"/>
              <w:jc w:val="center"/>
              <w:rPr>
                <w:sz w:val="22"/>
              </w:rPr>
            </w:pPr>
            <w:r>
              <w:rPr>
                <w:sz w:val="22"/>
              </w:rPr>
              <w:t>5</w:t>
            </w:r>
            <w:r>
              <w:rPr>
                <w:rFonts w:hint="eastAsia"/>
                <w:sz w:val="22"/>
              </w:rPr>
              <w:t>9.1</w:t>
            </w:r>
          </w:p>
        </w:tc>
        <w:tc>
          <w:tcPr>
            <w:tcW w:w="2136" w:type="dxa"/>
            <w:vAlign w:val="center"/>
          </w:tcPr>
          <w:p>
            <w:pPr>
              <w:spacing w:line="240" w:lineRule="auto"/>
              <w:jc w:val="center"/>
              <w:rPr>
                <w:sz w:val="22"/>
              </w:rPr>
            </w:pPr>
            <w:r>
              <w:rPr>
                <w:sz w:val="22"/>
              </w:rPr>
              <w:t>4</w:t>
            </w:r>
            <w:r>
              <w:rPr>
                <w:rFonts w:hint="eastAsia"/>
                <w:sz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2017" w:type="dxa"/>
            <w:vMerge w:val="continue"/>
            <w:vAlign w:val="center"/>
          </w:tcPr>
          <w:p>
            <w:pPr>
              <w:adjustRightInd/>
              <w:snapToGrid/>
              <w:spacing w:line="240" w:lineRule="auto"/>
              <w:jc w:val="center"/>
              <w:outlineLvl w:val="0"/>
              <w:rPr>
                <w:rFonts w:eastAsia="宋体"/>
                <w:sz w:val="22"/>
                <w:szCs w:val="21"/>
              </w:rPr>
            </w:pPr>
          </w:p>
        </w:tc>
        <w:tc>
          <w:tcPr>
            <w:tcW w:w="2153" w:type="dxa"/>
            <w:vAlign w:val="center"/>
          </w:tcPr>
          <w:p>
            <w:pPr>
              <w:adjustRightInd/>
              <w:snapToGrid/>
              <w:spacing w:line="240" w:lineRule="auto"/>
              <w:jc w:val="center"/>
              <w:rPr>
                <w:rFonts w:eastAsia="宋体"/>
                <w:sz w:val="22"/>
                <w:szCs w:val="21"/>
              </w:rPr>
            </w:pPr>
            <w:r>
              <w:rPr>
                <w:rFonts w:eastAsia="宋体"/>
                <w:sz w:val="22"/>
                <w:szCs w:val="21"/>
              </w:rPr>
              <w:t>4# 北</w:t>
            </w:r>
            <w:r>
              <w:rPr>
                <w:rFonts w:eastAsia="宋体"/>
                <w:sz w:val="22"/>
                <w:szCs w:val="20"/>
              </w:rPr>
              <w:t>厂界</w:t>
            </w:r>
          </w:p>
        </w:tc>
        <w:tc>
          <w:tcPr>
            <w:tcW w:w="2135" w:type="dxa"/>
            <w:vAlign w:val="center"/>
          </w:tcPr>
          <w:p>
            <w:pPr>
              <w:spacing w:line="240" w:lineRule="auto"/>
              <w:jc w:val="center"/>
              <w:rPr>
                <w:sz w:val="22"/>
              </w:rPr>
            </w:pPr>
            <w:r>
              <w:rPr>
                <w:sz w:val="22"/>
              </w:rPr>
              <w:t>5</w:t>
            </w:r>
            <w:r>
              <w:rPr>
                <w:rFonts w:hint="eastAsia"/>
                <w:sz w:val="22"/>
              </w:rPr>
              <w:t>7.3</w:t>
            </w:r>
          </w:p>
        </w:tc>
        <w:tc>
          <w:tcPr>
            <w:tcW w:w="2136" w:type="dxa"/>
            <w:vAlign w:val="center"/>
          </w:tcPr>
          <w:p>
            <w:pPr>
              <w:spacing w:line="240" w:lineRule="auto"/>
              <w:jc w:val="center"/>
              <w:rPr>
                <w:sz w:val="22"/>
              </w:rPr>
            </w:pPr>
            <w:r>
              <w:rPr>
                <w:sz w:val="22"/>
              </w:rPr>
              <w:t>4</w:t>
            </w:r>
            <w:r>
              <w:rPr>
                <w:rFonts w:hint="eastAsia"/>
                <w:sz w:val="22"/>
              </w:rPr>
              <w:t>6.4</w:t>
            </w:r>
          </w:p>
        </w:tc>
      </w:tr>
    </w:tbl>
    <w:p>
      <w:pPr>
        <w:widowControl/>
        <w:shd w:val="clear" w:color="auto" w:fill="FFFFFF"/>
        <w:ind w:firstLine="520"/>
        <w:rPr>
          <w:color w:val="000000"/>
          <w:kern w:val="0"/>
          <w:szCs w:val="26"/>
        </w:rPr>
      </w:pPr>
      <w:r>
        <w:rPr>
          <w:color w:val="000000"/>
          <w:kern w:val="0"/>
          <w:szCs w:val="26"/>
        </w:rPr>
        <w:t>201</w:t>
      </w:r>
      <w:r>
        <w:rPr>
          <w:rFonts w:hint="eastAsia"/>
          <w:color w:val="000000"/>
          <w:kern w:val="0"/>
          <w:szCs w:val="26"/>
        </w:rPr>
        <w:t>7</w:t>
      </w:r>
      <w:r>
        <w:rPr>
          <w:color w:val="000000"/>
          <w:kern w:val="0"/>
          <w:szCs w:val="26"/>
        </w:rPr>
        <w:t>年</w:t>
      </w:r>
      <w:r>
        <w:rPr>
          <w:rFonts w:hint="eastAsia"/>
          <w:color w:val="000000"/>
          <w:kern w:val="0"/>
          <w:szCs w:val="26"/>
        </w:rPr>
        <w:t>12月21~22日</w:t>
      </w:r>
      <w:r>
        <w:rPr>
          <w:color w:val="000000"/>
          <w:kern w:val="0"/>
          <w:szCs w:val="26"/>
        </w:rPr>
        <w:t>，厂界昼间噪声值为</w:t>
      </w:r>
      <w:r>
        <w:rPr>
          <w:rFonts w:hint="eastAsia"/>
          <w:color w:val="000000"/>
          <w:kern w:val="0"/>
          <w:szCs w:val="26"/>
        </w:rPr>
        <w:t>56.5</w:t>
      </w:r>
      <w:r>
        <w:rPr>
          <w:color w:val="000000"/>
          <w:kern w:val="0"/>
          <w:szCs w:val="26"/>
        </w:rPr>
        <w:t>～</w:t>
      </w:r>
      <w:r>
        <w:rPr>
          <w:rFonts w:hint="eastAsia"/>
          <w:color w:val="000000"/>
          <w:kern w:val="0"/>
          <w:szCs w:val="26"/>
        </w:rPr>
        <w:t>59.4</w:t>
      </w:r>
      <w:r>
        <w:rPr>
          <w:color w:val="000000"/>
          <w:kern w:val="0"/>
          <w:szCs w:val="26"/>
        </w:rPr>
        <w:t>dB（A），夜间噪声值为</w:t>
      </w:r>
      <w:r>
        <w:rPr>
          <w:rFonts w:hint="eastAsia"/>
          <w:color w:val="000000"/>
          <w:kern w:val="0"/>
          <w:szCs w:val="26"/>
        </w:rPr>
        <w:t>41.8</w:t>
      </w:r>
      <w:r>
        <w:rPr>
          <w:color w:val="000000"/>
          <w:kern w:val="0"/>
          <w:szCs w:val="26"/>
        </w:rPr>
        <w:t>～</w:t>
      </w:r>
      <w:r>
        <w:rPr>
          <w:rFonts w:hint="eastAsia"/>
          <w:color w:val="000000"/>
          <w:kern w:val="0"/>
          <w:szCs w:val="26"/>
        </w:rPr>
        <w:t>47.7</w:t>
      </w:r>
      <w:r>
        <w:rPr>
          <w:color w:val="000000"/>
          <w:kern w:val="0"/>
          <w:szCs w:val="26"/>
        </w:rPr>
        <w:t>dB（A）</w:t>
      </w:r>
      <w:r>
        <w:rPr>
          <w:rFonts w:hint="eastAsia"/>
          <w:color w:val="000000"/>
          <w:kern w:val="0"/>
          <w:szCs w:val="26"/>
        </w:rPr>
        <w:t>，满足</w:t>
      </w:r>
      <w:r>
        <w:rPr>
          <w:color w:val="000000"/>
          <w:kern w:val="0"/>
          <w:szCs w:val="26"/>
        </w:rPr>
        <w:t>《工业企业厂界环境噪声排放标准》（GB 12348-2008）2类功能区标准限值的要求。</w:t>
      </w:r>
    </w:p>
    <w:p>
      <w:pPr>
        <w:pStyle w:val="5"/>
        <w:ind w:firstLine="560"/>
      </w:pPr>
      <w:r>
        <w:pict>
          <v:rect id="_x0000_s1330" o:spid="_x0000_s1330" o:spt="1" style="position:absolute;left:0pt;margin-left:411.9pt;margin-top:0pt;height:18.7pt;width:20.25pt;z-index:251708416;mso-width-relative:page;mso-height-relative:page;" filled="f" stroked="f" coordsize="21600,21600">
            <v:path/>
            <v:fill on="f" focussize="0,0"/>
            <v:stroke on="f" color="#FFFFFF"/>
            <v:imagedata o:title=""/>
            <o:lock v:ext="edit"/>
            <v:textbox>
              <w:txbxContent>
                <w:p>
                  <w:pPr>
                    <w:ind w:firstLine="520"/>
                  </w:pPr>
                  <w:r>
                    <w:rPr>
                      <w:rFonts w:hint="eastAsia"/>
                    </w:rPr>
                    <w:t>N</w:t>
                  </w:r>
                </w:p>
              </w:txbxContent>
            </v:textbox>
          </v:rect>
        </w:pict>
      </w:r>
      <w:r>
        <w:t>9.2.</w:t>
      </w:r>
      <w:r>
        <w:rPr>
          <w:rFonts w:hint="eastAsia"/>
        </w:rPr>
        <w:t>1.3  污染物排放总量核算</w:t>
      </w:r>
    </w:p>
    <w:p>
      <w:pPr>
        <w:widowControl/>
        <w:shd w:val="clear" w:color="auto" w:fill="FFFFFF"/>
        <w:ind w:firstLine="520" w:firstLineChars="200"/>
        <w:rPr>
          <w:color w:val="000000"/>
          <w:kern w:val="0"/>
          <w:szCs w:val="26"/>
        </w:rPr>
      </w:pPr>
      <w:r>
        <w:rPr>
          <w:rFonts w:hint="eastAsia"/>
          <w:color w:val="000000"/>
          <w:kern w:val="0"/>
          <w:szCs w:val="26"/>
        </w:rPr>
        <w:t>根据监测结果：贴面工序废气中非甲烷总烃排放速率均值为2.43</w:t>
      </w:r>
      <w:r>
        <w:rPr>
          <w:color w:val="000000"/>
          <w:kern w:val="0"/>
          <w:szCs w:val="26"/>
        </w:rPr>
        <w:t>×10</w:t>
      </w:r>
      <w:r>
        <w:rPr>
          <w:color w:val="000000"/>
          <w:kern w:val="0"/>
          <w:szCs w:val="26"/>
          <w:vertAlign w:val="superscript"/>
        </w:rPr>
        <w:t>-</w:t>
      </w:r>
      <w:r>
        <w:rPr>
          <w:rFonts w:hint="eastAsia"/>
          <w:color w:val="000000"/>
          <w:kern w:val="0"/>
          <w:szCs w:val="26"/>
          <w:vertAlign w:val="superscript"/>
        </w:rPr>
        <w:t>2</w:t>
      </w:r>
      <w:r>
        <w:rPr>
          <w:rFonts w:hint="eastAsia"/>
          <w:color w:val="000000"/>
          <w:kern w:val="0"/>
          <w:szCs w:val="26"/>
        </w:rPr>
        <w:t>kg/h，该工序每天运行8h，全年运行2400h，非甲烷总烃的排放总量为0.0583t/a；切割工序废气中颗粒物排放速率均值为3.62</w:t>
      </w:r>
      <w:r>
        <w:rPr>
          <w:color w:val="000000"/>
          <w:kern w:val="0"/>
          <w:szCs w:val="26"/>
        </w:rPr>
        <w:t>×10</w:t>
      </w:r>
      <w:r>
        <w:rPr>
          <w:color w:val="000000"/>
          <w:kern w:val="0"/>
          <w:szCs w:val="26"/>
          <w:vertAlign w:val="superscript"/>
        </w:rPr>
        <w:t>-</w:t>
      </w:r>
      <w:r>
        <w:rPr>
          <w:rFonts w:hint="eastAsia"/>
          <w:color w:val="000000"/>
          <w:kern w:val="0"/>
          <w:szCs w:val="26"/>
          <w:vertAlign w:val="superscript"/>
        </w:rPr>
        <w:t>2</w:t>
      </w:r>
      <w:r>
        <w:rPr>
          <w:rFonts w:hint="eastAsia"/>
          <w:color w:val="000000"/>
          <w:kern w:val="0"/>
          <w:szCs w:val="26"/>
        </w:rPr>
        <w:t>kg/h，该工序每天运行4h，全年运行200天800h，颗粒物排放总量为0.0290t/a。</w:t>
      </w:r>
    </w:p>
    <w:p>
      <w:pPr>
        <w:widowControl/>
        <w:shd w:val="clear" w:color="auto" w:fill="FFFFFF"/>
        <w:ind w:firstLine="520" w:firstLineChars="200"/>
        <w:rPr>
          <w:color w:val="000000"/>
          <w:kern w:val="0"/>
          <w:szCs w:val="26"/>
        </w:rPr>
      </w:pPr>
      <w:r>
        <w:rPr>
          <w:rFonts w:hint="eastAsia"/>
          <w:color w:val="000000"/>
          <w:kern w:val="0"/>
          <w:szCs w:val="26"/>
        </w:rPr>
        <w:t>环评报告表对该项目有组织排放的非甲烷总烃、颗粒物预测值分别为0.0891t/a，0.0449 t/a。</w:t>
      </w:r>
    </w:p>
    <w:p>
      <w:pPr>
        <w:pStyle w:val="4"/>
        <w:spacing w:before="70"/>
        <w:rPr>
          <w:color w:val="3E3E3E"/>
        </w:rPr>
      </w:pPr>
      <w:r>
        <w:t>9.2.</w:t>
      </w:r>
      <w:r>
        <w:rPr>
          <w:rFonts w:hint="eastAsia"/>
        </w:rPr>
        <w:t>2环保设施处理效率</w:t>
      </w:r>
      <w:r>
        <w:t>监测结果</w:t>
      </w:r>
    </w:p>
    <w:p>
      <w:pPr>
        <w:pStyle w:val="5"/>
        <w:ind w:firstLine="560"/>
        <w:rPr>
          <w:color w:val="3E3E3E"/>
        </w:rPr>
      </w:pPr>
      <w:r>
        <w:t>9.2.</w:t>
      </w:r>
      <w:r>
        <w:rPr>
          <w:rFonts w:hint="eastAsia"/>
        </w:rPr>
        <w:t>2</w:t>
      </w:r>
      <w:r>
        <w:t>.</w:t>
      </w:r>
      <w:r>
        <w:rPr>
          <w:rFonts w:hint="eastAsia"/>
        </w:rPr>
        <w:t>1</w:t>
      </w:r>
      <w:r>
        <w:t>废气</w:t>
      </w:r>
      <w:r>
        <w:rPr>
          <w:rFonts w:hint="eastAsia"/>
        </w:rPr>
        <w:t>治理设施</w:t>
      </w:r>
    </w:p>
    <w:p>
      <w:pPr>
        <w:widowControl/>
        <w:shd w:val="clear" w:color="auto" w:fill="FFFFFF"/>
        <w:ind w:firstLine="520"/>
        <w:rPr>
          <w:color w:val="000000"/>
          <w:kern w:val="0"/>
          <w:szCs w:val="26"/>
        </w:rPr>
      </w:pPr>
      <w:r>
        <w:rPr>
          <w:rFonts w:hint="eastAsia"/>
          <w:color w:val="000000"/>
          <w:kern w:val="0"/>
          <w:szCs w:val="26"/>
        </w:rPr>
        <w:t>1</w:t>
      </w:r>
      <w:r>
        <w:rPr>
          <w:color w:val="000000"/>
          <w:kern w:val="0"/>
          <w:szCs w:val="26"/>
        </w:rPr>
        <w:t>）</w:t>
      </w:r>
      <w:r>
        <w:rPr>
          <w:rFonts w:hint="eastAsia"/>
          <w:color w:val="000000"/>
          <w:kern w:val="0"/>
          <w:szCs w:val="26"/>
        </w:rPr>
        <w:t>贴面废气处理设施：该处理设施为光氧催化设备，根据本次监测数据计算，非甲烷总烃处理效率为67%；</w:t>
      </w:r>
    </w:p>
    <w:p>
      <w:pPr>
        <w:widowControl/>
        <w:shd w:val="clear" w:color="auto" w:fill="FFFFFF"/>
        <w:ind w:firstLine="520"/>
        <w:rPr>
          <w:color w:val="000000"/>
          <w:kern w:val="0"/>
          <w:szCs w:val="26"/>
        </w:rPr>
      </w:pPr>
      <w:r>
        <w:rPr>
          <w:rFonts w:hint="eastAsia"/>
          <w:color w:val="000000"/>
          <w:kern w:val="0"/>
          <w:szCs w:val="26"/>
        </w:rPr>
        <w:t>2）切割工序废气处理设施：该处理设施为布袋除尘器，根据本次监测数据计算，颗粒物处理效率为99.7%；</w:t>
      </w:r>
    </w:p>
    <w:p>
      <w:pPr>
        <w:widowControl/>
        <w:shd w:val="clear" w:color="auto" w:fill="FFFFFF"/>
        <w:ind w:firstLine="520" w:firstLineChars="200"/>
        <w:rPr>
          <w:color w:val="000000"/>
          <w:kern w:val="0"/>
          <w:szCs w:val="26"/>
        </w:rPr>
      </w:pPr>
      <w:r>
        <w:rPr>
          <w:rFonts w:hint="eastAsia"/>
          <w:color w:val="000000"/>
          <w:kern w:val="0"/>
          <w:szCs w:val="26"/>
        </w:rPr>
        <w:t>环评报告表中该项目非甲烷总烃废气处理设施的处理效率设计指标为80%，颗粒物废气处理设施的处理效率设计指标为99%。</w:t>
      </w:r>
    </w:p>
    <w:p>
      <w:pPr>
        <w:widowControl/>
        <w:shd w:val="clear" w:color="auto" w:fill="FFFFFF"/>
        <w:spacing w:line="384" w:lineRule="atLeast"/>
        <w:ind w:firstLine="480"/>
        <w:rPr>
          <w:color w:val="3E3E3E"/>
          <w:kern w:val="0"/>
          <w:sz w:val="24"/>
          <w:szCs w:val="24"/>
        </w:rPr>
      </w:pPr>
      <w:r>
        <w:rPr>
          <w:color w:val="3E3E3E"/>
          <w:kern w:val="0"/>
          <w:sz w:val="24"/>
          <w:szCs w:val="24"/>
        </w:rPr>
        <w:br w:type="page"/>
      </w:r>
    </w:p>
    <w:p>
      <w:pPr>
        <w:pStyle w:val="2"/>
        <w:spacing w:before="177" w:after="106"/>
        <w:rPr>
          <w:color w:val="3E3E3E"/>
        </w:rPr>
      </w:pPr>
      <w:bookmarkStart w:id="120" w:name="_Toc499060232"/>
      <w:bookmarkStart w:id="121" w:name="_Toc499059495"/>
      <w:bookmarkStart w:id="122" w:name="_Toc502699382"/>
      <w:r>
        <w:t>10 验收监测结论</w:t>
      </w:r>
      <w:bookmarkEnd w:id="120"/>
      <w:bookmarkEnd w:id="121"/>
      <w:bookmarkEnd w:id="122"/>
    </w:p>
    <w:p>
      <w:pPr>
        <w:pStyle w:val="3"/>
        <w:spacing w:before="70" w:after="70"/>
        <w:rPr>
          <w:color w:val="3E3E3E"/>
        </w:rPr>
      </w:pPr>
      <w:bookmarkStart w:id="123" w:name="_Toc499060233"/>
      <w:bookmarkStart w:id="124" w:name="_Toc502699383"/>
      <w:bookmarkStart w:id="125" w:name="_Toc499059496"/>
      <w:r>
        <w:t>10.1环境保护设施调试效果</w:t>
      </w:r>
      <w:bookmarkEnd w:id="123"/>
      <w:bookmarkEnd w:id="124"/>
      <w:bookmarkEnd w:id="125"/>
    </w:p>
    <w:p>
      <w:pPr>
        <w:widowControl/>
        <w:shd w:val="clear" w:color="auto" w:fill="FFFFFF"/>
        <w:ind w:firstLine="520"/>
        <w:rPr>
          <w:color w:val="000000"/>
          <w:kern w:val="0"/>
          <w:szCs w:val="26"/>
        </w:rPr>
      </w:pPr>
      <w:r>
        <w:rPr>
          <w:rFonts w:hint="eastAsia"/>
          <w:color w:val="000000"/>
          <w:kern w:val="0"/>
          <w:szCs w:val="26"/>
        </w:rPr>
        <w:t>1、废水</w:t>
      </w:r>
    </w:p>
    <w:p>
      <w:pPr>
        <w:widowControl/>
        <w:shd w:val="clear" w:color="auto" w:fill="FFFFFF"/>
        <w:ind w:firstLine="520"/>
        <w:rPr>
          <w:color w:val="000000"/>
          <w:kern w:val="0"/>
          <w:szCs w:val="26"/>
        </w:rPr>
      </w:pPr>
      <w:r>
        <w:rPr>
          <w:rFonts w:hint="eastAsia"/>
          <w:color w:val="000000"/>
          <w:kern w:val="0"/>
          <w:szCs w:val="26"/>
        </w:rPr>
        <w:t>该项目石膏线条模具清洗用水循环使用，不外排，项目废水主要是生活污水，经化粪池处理后外运堆肥。</w:t>
      </w:r>
    </w:p>
    <w:p>
      <w:pPr>
        <w:widowControl/>
        <w:shd w:val="clear" w:color="auto" w:fill="FFFFFF"/>
        <w:ind w:firstLine="520"/>
        <w:rPr>
          <w:color w:val="000000"/>
          <w:kern w:val="0"/>
          <w:szCs w:val="26"/>
        </w:rPr>
      </w:pPr>
      <w:r>
        <w:rPr>
          <w:rFonts w:hint="eastAsia"/>
          <w:color w:val="000000"/>
          <w:kern w:val="0"/>
          <w:szCs w:val="26"/>
        </w:rPr>
        <w:t>2</w:t>
      </w:r>
      <w:r>
        <w:rPr>
          <w:color w:val="000000"/>
          <w:kern w:val="0"/>
          <w:szCs w:val="26"/>
        </w:rPr>
        <w:t>、废气</w:t>
      </w:r>
    </w:p>
    <w:p>
      <w:pPr>
        <w:ind w:firstLine="520"/>
      </w:pPr>
      <w:r>
        <w:rPr>
          <w:rFonts w:hint="eastAsia"/>
          <w:bCs/>
        </w:rPr>
        <w:t>（1）有组织废气：该项目贴面工序产生的非甲烷总烃</w:t>
      </w:r>
      <w:r>
        <w:rPr>
          <w:rFonts w:hint="eastAsia"/>
        </w:rPr>
        <w:t>废气经集气罩收集后通过1台光氧催化设备进行处理，处理后废气通过1根15米高排气筒排放；该项目2条石膏贴面板切割生产线，每条线产生的</w:t>
      </w:r>
      <w:r>
        <w:rPr>
          <w:rFonts w:hint="eastAsia" w:asciiTheme="minorEastAsia" w:hAnsiTheme="minorEastAsia"/>
          <w:bCs/>
        </w:rPr>
        <w:t>切割粉尘</w:t>
      </w:r>
      <w:r>
        <w:rPr>
          <w:rFonts w:hint="eastAsia"/>
        </w:rPr>
        <w:t>经各自集气罩及吸尘管道收集后进各自布袋除尘器处理，处理后废气汇集到1根15米高排气筒排放。</w:t>
      </w:r>
    </w:p>
    <w:p>
      <w:pPr>
        <w:widowControl/>
        <w:shd w:val="clear" w:color="auto" w:fill="FFFFFF"/>
        <w:ind w:firstLine="520"/>
      </w:pPr>
      <w:r>
        <w:rPr>
          <w:rFonts w:hint="eastAsia"/>
        </w:rPr>
        <w:t>（2）无组织废气：该项目</w:t>
      </w:r>
      <w:r>
        <w:rPr>
          <w:rFonts w:hint="eastAsia" w:asciiTheme="minorEastAsia" w:hAnsiTheme="minorEastAsia"/>
          <w:bCs/>
        </w:rPr>
        <w:t>石膏粉筒仓进料过程及石膏浆液搅拌工序粉尘废气无组织排放，</w:t>
      </w:r>
      <w:r>
        <w:rPr>
          <w:rFonts w:hint="eastAsia"/>
        </w:rPr>
        <w:t>未经收集的非甲烷总烃废气及粉尘废气经加强车间通风后无组织排放。</w:t>
      </w:r>
    </w:p>
    <w:p>
      <w:pPr>
        <w:widowControl/>
        <w:shd w:val="clear" w:color="auto" w:fill="FFFFFF"/>
        <w:ind w:firstLine="520" w:firstLineChars="200"/>
        <w:rPr>
          <w:color w:val="000000"/>
          <w:kern w:val="0"/>
          <w:szCs w:val="26"/>
        </w:rPr>
      </w:pPr>
      <w:r>
        <w:rPr>
          <w:color w:val="000000"/>
          <w:kern w:val="0"/>
          <w:szCs w:val="26"/>
        </w:rPr>
        <w:t>经连续两天监测</w:t>
      </w:r>
      <w:r>
        <w:rPr>
          <w:rFonts w:hint="eastAsia"/>
          <w:color w:val="000000"/>
          <w:kern w:val="0"/>
          <w:szCs w:val="26"/>
        </w:rPr>
        <w:t>，</w:t>
      </w:r>
      <w:r>
        <w:rPr>
          <w:color w:val="000000"/>
          <w:kern w:val="0"/>
          <w:szCs w:val="26"/>
        </w:rPr>
        <w:t>2017年</w:t>
      </w:r>
      <w:r>
        <w:rPr>
          <w:rFonts w:hint="eastAsia"/>
          <w:color w:val="000000"/>
          <w:kern w:val="0"/>
          <w:szCs w:val="26"/>
        </w:rPr>
        <w:t>12月21日至22日：</w:t>
      </w:r>
    </w:p>
    <w:p>
      <w:pPr>
        <w:widowControl/>
        <w:shd w:val="clear" w:color="auto" w:fill="FFFFFF"/>
        <w:ind w:firstLine="520" w:firstLineChars="200"/>
        <w:rPr>
          <w:color w:val="000000"/>
          <w:kern w:val="0"/>
          <w:szCs w:val="26"/>
        </w:rPr>
      </w:pPr>
      <w:r>
        <w:rPr>
          <w:rFonts w:hint="eastAsia"/>
          <w:color w:val="000000"/>
          <w:kern w:val="0"/>
          <w:szCs w:val="26"/>
        </w:rPr>
        <w:t>贴面工序废气排气筒中非甲烷总烃排放浓度最大值为5.23mg/m</w:t>
      </w:r>
      <w:r>
        <w:rPr>
          <w:rFonts w:hint="eastAsia"/>
          <w:color w:val="000000"/>
          <w:kern w:val="0"/>
          <w:szCs w:val="26"/>
          <w:vertAlign w:val="superscript"/>
        </w:rPr>
        <w:t>3</w:t>
      </w:r>
      <w:r>
        <w:rPr>
          <w:rFonts w:hint="eastAsia"/>
          <w:color w:val="000000"/>
          <w:kern w:val="0"/>
          <w:szCs w:val="26"/>
        </w:rPr>
        <w:t>，排放速率最大值为3.04</w:t>
      </w:r>
      <w:r>
        <w:rPr>
          <w:color w:val="000000"/>
          <w:kern w:val="0"/>
          <w:szCs w:val="26"/>
        </w:rPr>
        <w:t>×10</w:t>
      </w:r>
      <w:r>
        <w:rPr>
          <w:color w:val="000000"/>
          <w:kern w:val="0"/>
          <w:szCs w:val="26"/>
          <w:vertAlign w:val="superscript"/>
        </w:rPr>
        <w:t>-2</w:t>
      </w:r>
      <w:r>
        <w:rPr>
          <w:rFonts w:hint="eastAsia"/>
          <w:color w:val="000000"/>
          <w:kern w:val="0"/>
          <w:szCs w:val="26"/>
        </w:rPr>
        <w:t>kg/h；满足《大气污染物综合排放标准》（GB 16297-1996）表2二级标准要求；</w:t>
      </w:r>
    </w:p>
    <w:p>
      <w:pPr>
        <w:widowControl/>
        <w:shd w:val="clear" w:color="auto" w:fill="FFFFFF"/>
        <w:ind w:firstLine="520" w:firstLineChars="200"/>
        <w:rPr>
          <w:color w:val="000000"/>
          <w:kern w:val="0"/>
          <w:szCs w:val="26"/>
        </w:rPr>
      </w:pPr>
      <w:r>
        <w:rPr>
          <w:rFonts w:hint="eastAsia"/>
          <w:color w:val="000000"/>
          <w:kern w:val="0"/>
          <w:szCs w:val="26"/>
        </w:rPr>
        <w:t>切割工序废气排气筒中颗粒物排放浓度最大值为8.0mg/m</w:t>
      </w:r>
      <w:r>
        <w:rPr>
          <w:rFonts w:hint="eastAsia"/>
          <w:color w:val="000000"/>
          <w:kern w:val="0"/>
          <w:szCs w:val="26"/>
          <w:vertAlign w:val="superscript"/>
        </w:rPr>
        <w:t>3</w:t>
      </w:r>
      <w:r>
        <w:rPr>
          <w:rFonts w:hint="eastAsia"/>
          <w:color w:val="000000"/>
          <w:kern w:val="0"/>
          <w:szCs w:val="26"/>
        </w:rPr>
        <w:t>，排放速率最大值为4.79</w:t>
      </w:r>
      <w:r>
        <w:rPr>
          <w:color w:val="000000"/>
          <w:kern w:val="0"/>
          <w:szCs w:val="26"/>
        </w:rPr>
        <w:t>×10</w:t>
      </w:r>
      <w:r>
        <w:rPr>
          <w:color w:val="000000"/>
          <w:kern w:val="0"/>
          <w:szCs w:val="26"/>
          <w:vertAlign w:val="superscript"/>
        </w:rPr>
        <w:t>-</w:t>
      </w:r>
      <w:r>
        <w:rPr>
          <w:rFonts w:hint="eastAsia"/>
          <w:color w:val="000000"/>
          <w:kern w:val="0"/>
          <w:szCs w:val="26"/>
          <w:vertAlign w:val="superscript"/>
        </w:rPr>
        <w:t>2</w:t>
      </w:r>
      <w:r>
        <w:rPr>
          <w:rFonts w:hint="eastAsia"/>
          <w:color w:val="000000"/>
          <w:kern w:val="0"/>
          <w:szCs w:val="26"/>
        </w:rPr>
        <w:t>kg/h；颗粒物排放满足《山东省区域性大气污染物综合排放标准》表2“重点控制区”限值要求，颗粒物排放速率满足《大气污染物综合排放标准》（GB 16297-1996）表2中二级标准要求；</w:t>
      </w:r>
    </w:p>
    <w:p>
      <w:pPr>
        <w:widowControl/>
        <w:shd w:val="clear" w:color="auto" w:fill="FFFFFF"/>
        <w:ind w:firstLine="520"/>
        <w:rPr>
          <w:color w:val="000000"/>
          <w:kern w:val="0"/>
          <w:szCs w:val="26"/>
        </w:rPr>
      </w:pPr>
      <w:r>
        <w:rPr>
          <w:rFonts w:hint="eastAsia"/>
          <w:color w:val="000000"/>
          <w:kern w:val="0"/>
          <w:szCs w:val="26"/>
        </w:rPr>
        <w:t>厂界无组织颗粒物</w:t>
      </w:r>
      <w:r>
        <w:rPr>
          <w:color w:val="000000"/>
          <w:kern w:val="0"/>
          <w:szCs w:val="26"/>
        </w:rPr>
        <w:t>浓度最大值为</w:t>
      </w:r>
      <w:r>
        <w:rPr>
          <w:rFonts w:hint="eastAsia"/>
          <w:color w:val="000000"/>
          <w:kern w:val="0"/>
          <w:szCs w:val="26"/>
        </w:rPr>
        <w:t>为0.506</w:t>
      </w:r>
      <w:r>
        <w:rPr>
          <w:color w:val="000000"/>
          <w:kern w:val="0"/>
          <w:szCs w:val="26"/>
        </w:rPr>
        <w:t>mg/m</w:t>
      </w:r>
      <w:r>
        <w:rPr>
          <w:color w:val="000000"/>
          <w:kern w:val="0"/>
          <w:szCs w:val="26"/>
          <w:vertAlign w:val="superscript"/>
        </w:rPr>
        <w:t>3</w:t>
      </w:r>
      <w:r>
        <w:rPr>
          <w:rFonts w:hint="eastAsia"/>
          <w:color w:val="000000"/>
          <w:kern w:val="0"/>
          <w:szCs w:val="26"/>
        </w:rPr>
        <w:t>，无组织非甲烷总烃</w:t>
      </w:r>
      <w:r>
        <w:rPr>
          <w:color w:val="000000"/>
          <w:kern w:val="0"/>
          <w:szCs w:val="26"/>
        </w:rPr>
        <w:t>浓度最大值为</w:t>
      </w:r>
      <w:r>
        <w:rPr>
          <w:rFonts w:hint="eastAsia"/>
          <w:color w:val="000000"/>
          <w:kern w:val="0"/>
          <w:szCs w:val="26"/>
        </w:rPr>
        <w:t>为0.80</w:t>
      </w:r>
      <w:r>
        <w:rPr>
          <w:color w:val="000000"/>
          <w:kern w:val="0"/>
          <w:szCs w:val="26"/>
        </w:rPr>
        <w:t>mg/m</w:t>
      </w:r>
      <w:r>
        <w:rPr>
          <w:color w:val="000000"/>
          <w:kern w:val="0"/>
          <w:szCs w:val="26"/>
          <w:vertAlign w:val="superscript"/>
        </w:rPr>
        <w:t>3</w:t>
      </w:r>
      <w:r>
        <w:rPr>
          <w:rFonts w:hint="eastAsia"/>
          <w:color w:val="000000"/>
          <w:kern w:val="0"/>
          <w:szCs w:val="26"/>
        </w:rPr>
        <w:t>，均满足</w:t>
      </w:r>
      <w:r>
        <w:rPr>
          <w:color w:val="000000"/>
          <w:kern w:val="0"/>
          <w:szCs w:val="26"/>
        </w:rPr>
        <w:t>《大气污染物综合排放标准》（GB 16297-1996）表2中无组织排放</w:t>
      </w:r>
      <w:r>
        <w:rPr>
          <w:rFonts w:hint="eastAsia"/>
          <w:color w:val="000000"/>
          <w:kern w:val="0"/>
          <w:szCs w:val="26"/>
        </w:rPr>
        <w:t>监控浓度限值</w:t>
      </w:r>
      <w:r>
        <w:rPr>
          <w:color w:val="000000"/>
          <w:kern w:val="0"/>
          <w:szCs w:val="26"/>
        </w:rPr>
        <w:t>要求</w:t>
      </w:r>
      <w:r>
        <w:rPr>
          <w:rFonts w:hint="eastAsia"/>
          <w:color w:val="000000"/>
          <w:kern w:val="0"/>
          <w:szCs w:val="26"/>
        </w:rPr>
        <w:t>。</w:t>
      </w:r>
    </w:p>
    <w:p>
      <w:pPr>
        <w:widowControl/>
        <w:shd w:val="clear" w:color="auto" w:fill="FFFFFF"/>
        <w:ind w:firstLine="520"/>
        <w:rPr>
          <w:color w:val="000000"/>
          <w:kern w:val="0"/>
          <w:szCs w:val="26"/>
        </w:rPr>
      </w:pPr>
    </w:p>
    <w:p>
      <w:pPr>
        <w:widowControl/>
        <w:shd w:val="clear" w:color="auto" w:fill="FFFFFF"/>
        <w:ind w:firstLine="520"/>
        <w:rPr>
          <w:color w:val="000000"/>
          <w:kern w:val="0"/>
          <w:szCs w:val="26"/>
        </w:rPr>
      </w:pPr>
    </w:p>
    <w:p>
      <w:pPr>
        <w:widowControl/>
        <w:shd w:val="clear" w:color="auto" w:fill="FFFFFF"/>
        <w:ind w:firstLine="520"/>
        <w:rPr>
          <w:color w:val="000000"/>
          <w:kern w:val="0"/>
          <w:szCs w:val="26"/>
        </w:rPr>
      </w:pPr>
      <w:r>
        <w:rPr>
          <w:color w:val="000000"/>
          <w:kern w:val="0"/>
          <w:szCs w:val="26"/>
        </w:rPr>
        <w:t>3、厂界噪声</w:t>
      </w:r>
    </w:p>
    <w:p>
      <w:pPr>
        <w:widowControl/>
        <w:shd w:val="clear" w:color="auto" w:fill="FFFFFF"/>
        <w:ind w:firstLine="480"/>
        <w:rPr>
          <w:color w:val="000000"/>
          <w:kern w:val="0"/>
          <w:szCs w:val="26"/>
        </w:rPr>
      </w:pPr>
      <w:r>
        <w:rPr>
          <w:rFonts w:hint="eastAsia" w:asciiTheme="minorEastAsia" w:hAnsiTheme="minorEastAsia"/>
        </w:rPr>
        <w:t>该项目噪声主要为双面贴膜机、切割锯、包边机、包装流水线、码垛机、石膏线条生产线、搅拌机、切割机和各类机械加工车床等设备运转产生的噪声。</w:t>
      </w:r>
      <w:r>
        <w:rPr>
          <w:rFonts w:hint="eastAsia"/>
        </w:rPr>
        <w:t>该项目通过选用低噪声设备，将生产设备全部安装在厂房内，合理布置设备位置并根据噪声源的特点分别采取减振、隔音等措施，降低噪声对周围环境的影响。</w:t>
      </w:r>
    </w:p>
    <w:p>
      <w:pPr>
        <w:widowControl/>
        <w:shd w:val="clear" w:color="auto" w:fill="FFFFFF"/>
        <w:ind w:firstLine="520"/>
        <w:rPr>
          <w:color w:val="000000"/>
          <w:kern w:val="0"/>
          <w:szCs w:val="26"/>
        </w:rPr>
      </w:pPr>
      <w:r>
        <w:rPr>
          <w:rFonts w:hint="eastAsia"/>
          <w:color w:val="000000"/>
          <w:kern w:val="0"/>
          <w:szCs w:val="26"/>
        </w:rPr>
        <w:t>本次验收</w:t>
      </w:r>
      <w:r>
        <w:rPr>
          <w:color w:val="000000"/>
          <w:kern w:val="0"/>
          <w:szCs w:val="26"/>
        </w:rPr>
        <w:t>监测</w:t>
      </w:r>
      <w:r>
        <w:rPr>
          <w:rFonts w:hint="eastAsia"/>
          <w:color w:val="000000"/>
          <w:kern w:val="0"/>
          <w:szCs w:val="26"/>
        </w:rPr>
        <w:t>显示</w:t>
      </w:r>
      <w:r>
        <w:rPr>
          <w:color w:val="000000"/>
          <w:kern w:val="0"/>
          <w:szCs w:val="26"/>
        </w:rPr>
        <w:t>，201</w:t>
      </w:r>
      <w:r>
        <w:rPr>
          <w:rFonts w:hint="eastAsia"/>
          <w:color w:val="000000"/>
          <w:kern w:val="0"/>
          <w:szCs w:val="26"/>
        </w:rPr>
        <w:t>7</w:t>
      </w:r>
      <w:r>
        <w:rPr>
          <w:color w:val="000000"/>
          <w:kern w:val="0"/>
          <w:szCs w:val="26"/>
        </w:rPr>
        <w:t>年</w:t>
      </w:r>
      <w:r>
        <w:rPr>
          <w:rFonts w:hint="eastAsia"/>
          <w:color w:val="000000"/>
          <w:kern w:val="0"/>
          <w:szCs w:val="26"/>
        </w:rPr>
        <w:t>12月21~22日</w:t>
      </w:r>
      <w:r>
        <w:rPr>
          <w:color w:val="000000"/>
          <w:kern w:val="0"/>
          <w:szCs w:val="26"/>
        </w:rPr>
        <w:t>，厂界昼间噪声值为</w:t>
      </w:r>
      <w:r>
        <w:rPr>
          <w:rFonts w:hint="eastAsia"/>
          <w:color w:val="000000"/>
          <w:kern w:val="0"/>
          <w:szCs w:val="26"/>
        </w:rPr>
        <w:t>56.5</w:t>
      </w:r>
      <w:r>
        <w:rPr>
          <w:color w:val="000000"/>
          <w:kern w:val="0"/>
          <w:szCs w:val="26"/>
        </w:rPr>
        <w:t>～</w:t>
      </w:r>
      <w:r>
        <w:rPr>
          <w:rFonts w:hint="eastAsia"/>
          <w:color w:val="000000"/>
          <w:kern w:val="0"/>
          <w:szCs w:val="26"/>
        </w:rPr>
        <w:t>59.4</w:t>
      </w:r>
      <w:r>
        <w:rPr>
          <w:color w:val="000000"/>
          <w:kern w:val="0"/>
          <w:szCs w:val="26"/>
        </w:rPr>
        <w:t>dB（A），夜间噪声值为</w:t>
      </w:r>
      <w:r>
        <w:rPr>
          <w:rFonts w:hint="eastAsia"/>
          <w:color w:val="000000"/>
          <w:kern w:val="0"/>
          <w:szCs w:val="26"/>
        </w:rPr>
        <w:t>41.8</w:t>
      </w:r>
      <w:r>
        <w:rPr>
          <w:color w:val="000000"/>
          <w:kern w:val="0"/>
          <w:szCs w:val="26"/>
        </w:rPr>
        <w:t>～</w:t>
      </w:r>
      <w:r>
        <w:rPr>
          <w:rFonts w:hint="eastAsia"/>
          <w:color w:val="000000"/>
          <w:kern w:val="0"/>
          <w:szCs w:val="26"/>
        </w:rPr>
        <w:t>47.7</w:t>
      </w:r>
      <w:r>
        <w:rPr>
          <w:color w:val="000000"/>
          <w:kern w:val="0"/>
          <w:szCs w:val="26"/>
        </w:rPr>
        <w:t>dB（A）</w:t>
      </w:r>
      <w:r>
        <w:rPr>
          <w:rFonts w:hint="eastAsia"/>
          <w:color w:val="000000"/>
          <w:kern w:val="0"/>
          <w:szCs w:val="26"/>
        </w:rPr>
        <w:t>，满足</w:t>
      </w:r>
      <w:r>
        <w:rPr>
          <w:color w:val="000000"/>
          <w:kern w:val="0"/>
          <w:szCs w:val="26"/>
        </w:rPr>
        <w:t>《工业企业厂界环境噪声排放标准》（GB 12348-2008）2类功能区标准限值的要求。</w:t>
      </w:r>
    </w:p>
    <w:p>
      <w:pPr>
        <w:widowControl/>
        <w:shd w:val="clear" w:color="auto" w:fill="FFFFFF"/>
        <w:ind w:firstLine="520"/>
        <w:rPr>
          <w:color w:val="3E3E3E"/>
          <w:kern w:val="0"/>
          <w:szCs w:val="26"/>
        </w:rPr>
      </w:pPr>
      <w:r>
        <w:rPr>
          <w:color w:val="000000"/>
          <w:kern w:val="0"/>
          <w:szCs w:val="26"/>
        </w:rPr>
        <w:t>4、固体废物</w:t>
      </w:r>
    </w:p>
    <w:p>
      <w:pPr>
        <w:widowControl/>
        <w:shd w:val="clear" w:color="auto" w:fill="FFFFFF"/>
        <w:ind w:firstLine="520"/>
        <w:rPr>
          <w:color w:val="3E3E3E"/>
          <w:kern w:val="0"/>
          <w:szCs w:val="26"/>
        </w:rPr>
      </w:pPr>
      <w:r>
        <w:rPr>
          <w:rFonts w:hint="eastAsia" w:asciiTheme="minorEastAsia" w:hAnsiTheme="minorEastAsia"/>
        </w:rPr>
        <w:t>（1）一般固废：该项目产生的一般固废主要为石膏贴面板生产过程中切割工序布袋除尘器收集</w:t>
      </w:r>
      <w:r>
        <w:rPr>
          <w:rFonts w:hint="eastAsia"/>
        </w:rPr>
        <w:t>的粉尘；石膏线条生产过程中产生的石膏浆渣和不合格品；机械设备加工过程中产生的下脚料和铁屑、焊渣；产品该项目包装过程产生的废包装材料和职工生活垃圾。</w:t>
      </w:r>
      <w:r>
        <w:rPr>
          <w:rFonts w:hint="eastAsia"/>
          <w:color w:val="000000"/>
          <w:kern w:val="0"/>
          <w:szCs w:val="26"/>
        </w:rPr>
        <w:t>根据企业提供的资料及现场调查：该项目</w:t>
      </w:r>
      <w:r>
        <w:rPr>
          <w:bCs/>
        </w:rPr>
        <w:t>布袋除尘器收集的粉尘</w:t>
      </w:r>
      <w:r>
        <w:rPr>
          <w:rFonts w:hint="eastAsia"/>
          <w:bCs/>
        </w:rPr>
        <w:t>，</w:t>
      </w:r>
      <w:r>
        <w:rPr>
          <w:bCs/>
        </w:rPr>
        <w:t>收集后外卖</w:t>
      </w:r>
      <w:r>
        <w:rPr>
          <w:rFonts w:hint="eastAsia"/>
          <w:bCs/>
        </w:rPr>
        <w:t>综合利用</w:t>
      </w:r>
      <w:r>
        <w:rPr>
          <w:bCs/>
        </w:rPr>
        <w:t>；石膏线条生产过程中产生的石膏浆渣和不合格品，收集后外卖用作建筑材料</w:t>
      </w:r>
      <w:r>
        <w:rPr>
          <w:rFonts w:hint="eastAsia"/>
          <w:bCs/>
        </w:rPr>
        <w:t>；</w:t>
      </w:r>
      <w:r>
        <w:rPr>
          <w:bCs/>
        </w:rPr>
        <w:t>钢材下料和钻孔过程中下脚料和铁屑</w:t>
      </w:r>
      <w:r>
        <w:rPr>
          <w:rFonts w:hint="eastAsia"/>
          <w:bCs/>
        </w:rPr>
        <w:t>、</w:t>
      </w:r>
      <w:r>
        <w:rPr>
          <w:bCs/>
        </w:rPr>
        <w:t>废包装材料</w:t>
      </w:r>
      <w:r>
        <w:rPr>
          <w:rFonts w:hint="eastAsia"/>
          <w:bCs/>
        </w:rPr>
        <w:t>，</w:t>
      </w:r>
      <w:r>
        <w:rPr>
          <w:bCs/>
        </w:rPr>
        <w:t>收集后外卖废品回收站</w:t>
      </w:r>
      <w:r>
        <w:rPr>
          <w:rFonts w:hint="eastAsia"/>
          <w:bCs/>
        </w:rPr>
        <w:t>；</w:t>
      </w:r>
      <w:r>
        <w:rPr>
          <w:bCs/>
        </w:rPr>
        <w:t>焊渣</w:t>
      </w:r>
      <w:r>
        <w:rPr>
          <w:rFonts w:hint="eastAsia"/>
          <w:bCs/>
        </w:rPr>
        <w:t>与生活垃圾</w:t>
      </w:r>
      <w:r>
        <w:rPr>
          <w:bCs/>
        </w:rPr>
        <w:t>集中收集后</w:t>
      </w:r>
      <w:r>
        <w:rPr>
          <w:rFonts w:hint="eastAsia"/>
          <w:bCs/>
        </w:rPr>
        <w:t>交</w:t>
      </w:r>
      <w:r>
        <w:rPr>
          <w:bCs/>
        </w:rPr>
        <w:t>由环卫部</w:t>
      </w:r>
      <w:r>
        <w:rPr>
          <w:rFonts w:hint="eastAsia"/>
          <w:bCs/>
        </w:rPr>
        <w:t>门</w:t>
      </w:r>
      <w:r>
        <w:rPr>
          <w:bCs/>
        </w:rPr>
        <w:t>统一处理</w:t>
      </w:r>
      <w:r>
        <w:rPr>
          <w:rFonts w:hint="eastAsia"/>
          <w:bCs/>
        </w:rPr>
        <w:t>。</w:t>
      </w:r>
    </w:p>
    <w:p>
      <w:pPr>
        <w:pStyle w:val="71"/>
        <w:ind w:firstLine="520"/>
        <w:rPr>
          <w:rFonts w:ascii="Times New Roman" w:hAnsi="Times New Roman" w:eastAsiaTheme="minorEastAsia"/>
          <w:sz w:val="26"/>
          <w:szCs w:val="22"/>
        </w:rPr>
      </w:pPr>
      <w:r>
        <w:rPr>
          <w:rFonts w:hint="eastAsia" w:ascii="Times New Roman" w:hAnsi="Times New Roman" w:eastAsiaTheme="minorEastAsia"/>
          <w:sz w:val="26"/>
          <w:szCs w:val="22"/>
        </w:rPr>
        <w:t>（2）危险废物：该项目产生的危险废物为石膏贴面板生产过程产生的废胶桶、废胶渣，机加工过程产生的废液压油及其包装物、废切削液。</w:t>
      </w:r>
      <w:r>
        <w:rPr>
          <w:rFonts w:hint="eastAsia"/>
          <w:color w:val="000000"/>
          <w:kern w:val="0"/>
          <w:szCs w:val="26"/>
        </w:rPr>
        <w:t>根据企业提供的资料及现场调查：该项目废胶桶</w:t>
      </w:r>
      <w:r>
        <w:rPr>
          <w:rFonts w:ascii="Times New Roman" w:hAnsi="Times New Roman" w:eastAsiaTheme="minorEastAsia"/>
          <w:sz w:val="26"/>
          <w:szCs w:val="22"/>
        </w:rPr>
        <w:t>收集后由生产厂家负责回收重新利用</w:t>
      </w:r>
      <w:r>
        <w:rPr>
          <w:rFonts w:hint="eastAsia" w:ascii="Times New Roman" w:hAnsi="Times New Roman" w:eastAsiaTheme="minorEastAsia"/>
          <w:sz w:val="26"/>
          <w:szCs w:val="22"/>
        </w:rPr>
        <w:t>；废胶渣、</w:t>
      </w:r>
      <w:r>
        <w:rPr>
          <w:rFonts w:ascii="Times New Roman" w:hAnsi="Times New Roman" w:eastAsiaTheme="minorEastAsia"/>
          <w:bCs/>
          <w:sz w:val="26"/>
          <w:szCs w:val="22"/>
        </w:rPr>
        <w:t>废液压油及其包装物</w:t>
      </w:r>
      <w:r>
        <w:rPr>
          <w:rFonts w:hint="eastAsia" w:ascii="Times New Roman" w:hAnsi="Times New Roman" w:eastAsiaTheme="minorEastAsia"/>
          <w:sz w:val="26"/>
          <w:szCs w:val="22"/>
        </w:rPr>
        <w:t>、废切削液收集后交由有资质的单位进行处理。</w:t>
      </w:r>
    </w:p>
    <w:p>
      <w:pPr>
        <w:pStyle w:val="3"/>
        <w:spacing w:before="70" w:after="70"/>
        <w:sectPr>
          <w:footerReference r:id="rId31" w:type="default"/>
          <w:footerReference r:id="rId32" w:type="even"/>
          <w:pgSz w:w="11906" w:h="16838"/>
          <w:pgMar w:top="1440" w:right="1588" w:bottom="1191" w:left="1588" w:header="850" w:footer="992" w:gutter="0"/>
          <w:cols w:space="425" w:num="1"/>
          <w:docGrid w:type="lines" w:linePitch="354" w:charSpace="0"/>
        </w:sectPr>
      </w:pPr>
      <w:bookmarkStart w:id="126" w:name="_Toc499059500"/>
      <w:bookmarkStart w:id="127" w:name="_Toc502699384"/>
      <w:bookmarkStart w:id="128" w:name="_Toc499060237"/>
    </w:p>
    <w:p>
      <w:pPr>
        <w:pStyle w:val="3"/>
        <w:spacing w:before="70" w:after="70"/>
      </w:pPr>
      <w:r>
        <w:t>10.</w:t>
      </w:r>
      <w:r>
        <w:rPr>
          <w:rFonts w:hint="eastAsia"/>
        </w:rPr>
        <w:t>2</w:t>
      </w:r>
      <w:r>
        <w:t>验收意见</w:t>
      </w:r>
      <w:bookmarkEnd w:id="126"/>
      <w:bookmarkEnd w:id="127"/>
      <w:bookmarkEnd w:id="128"/>
      <w:r>
        <w:t xml:space="preserve"> </w:t>
      </w:r>
    </w:p>
    <w:p>
      <w:pPr>
        <w:ind w:firstLine="520"/>
        <w:rPr>
          <w:color w:val="000000"/>
          <w:kern w:val="0"/>
          <w:szCs w:val="26"/>
        </w:rPr>
      </w:pPr>
      <w:r>
        <w:rPr>
          <w:color w:val="000000"/>
          <w:kern w:val="0"/>
          <w:szCs w:val="26"/>
        </w:rPr>
        <w:t>1、加强环境管理力度，确保各环保设施正常运行，做到长期稳定达标排放。</w:t>
      </w:r>
    </w:p>
    <w:p>
      <w:pPr>
        <w:ind w:firstLine="520"/>
        <w:rPr>
          <w:color w:val="000000"/>
          <w:kern w:val="0"/>
          <w:szCs w:val="26"/>
        </w:rPr>
      </w:pPr>
      <w:r>
        <w:rPr>
          <w:rFonts w:hint="eastAsia"/>
          <w:color w:val="000000"/>
          <w:kern w:val="0"/>
          <w:szCs w:val="26"/>
        </w:rPr>
        <w:t>2</w:t>
      </w:r>
      <w:r>
        <w:rPr>
          <w:color w:val="000000"/>
          <w:kern w:val="0"/>
          <w:szCs w:val="26"/>
        </w:rPr>
        <w:t>、健全环境风险防范管理体系，</w:t>
      </w:r>
      <w:r>
        <w:rPr>
          <w:rFonts w:hint="eastAsia"/>
          <w:color w:val="000000"/>
          <w:kern w:val="0"/>
          <w:szCs w:val="26"/>
        </w:rPr>
        <w:t>制定规范的应急预案，</w:t>
      </w:r>
      <w:r>
        <w:rPr>
          <w:color w:val="000000"/>
          <w:kern w:val="0"/>
          <w:szCs w:val="26"/>
        </w:rPr>
        <w:t>加强应急演练工作，</w:t>
      </w:r>
      <w:r>
        <w:rPr>
          <w:rFonts w:hint="eastAsia"/>
          <w:color w:val="000000"/>
          <w:kern w:val="0"/>
          <w:szCs w:val="26"/>
        </w:rPr>
        <w:t>切实提高环境风险防范能力</w:t>
      </w:r>
      <w:r>
        <w:rPr>
          <w:color w:val="000000"/>
          <w:kern w:val="0"/>
          <w:szCs w:val="26"/>
        </w:rPr>
        <w:t>。</w:t>
      </w:r>
    </w:p>
    <w:p>
      <w:pPr>
        <w:ind w:firstLine="520"/>
        <w:rPr>
          <w:color w:val="000000"/>
          <w:kern w:val="0"/>
          <w:szCs w:val="26"/>
        </w:rPr>
      </w:pPr>
      <w:r>
        <w:rPr>
          <w:rFonts w:hint="eastAsia"/>
          <w:color w:val="000000"/>
          <w:kern w:val="0"/>
          <w:szCs w:val="26"/>
        </w:rPr>
        <w:t>3、采取措施提高贴面工序集气罩的废气收集效率，减少无组织废气排放量。</w:t>
      </w:r>
    </w:p>
    <w:p>
      <w:pPr>
        <w:ind w:firstLine="520"/>
        <w:rPr>
          <w:color w:val="000000"/>
          <w:kern w:val="0"/>
          <w:szCs w:val="26"/>
        </w:rPr>
      </w:pPr>
      <w:r>
        <w:rPr>
          <w:rFonts w:hint="eastAsia"/>
          <w:color w:val="000000"/>
          <w:kern w:val="0"/>
          <w:szCs w:val="26"/>
        </w:rPr>
        <w:t>4、做好厂区空地规划，加快厂区空地硬化和绿化工作，尽量种植乔灌相结合的绿化带，减少无组织废气对周围环境的影响。</w:t>
      </w:r>
    </w:p>
    <w:p>
      <w:pPr>
        <w:ind w:firstLine="520"/>
        <w:rPr>
          <w:color w:val="000000"/>
          <w:kern w:val="0"/>
          <w:szCs w:val="26"/>
        </w:rPr>
      </w:pPr>
    </w:p>
    <w:p>
      <w:pPr>
        <w:ind w:firstLine="520"/>
        <w:rPr>
          <w:color w:val="000000"/>
          <w:kern w:val="0"/>
          <w:szCs w:val="26"/>
        </w:rPr>
      </w:pPr>
    </w:p>
    <w:p>
      <w:pPr>
        <w:ind w:firstLine="520"/>
        <w:rPr>
          <w:color w:val="000000"/>
          <w:kern w:val="0"/>
          <w:szCs w:val="26"/>
        </w:rPr>
      </w:pPr>
    </w:p>
    <w:p>
      <w:pPr>
        <w:ind w:firstLine="520"/>
      </w:pPr>
    </w:p>
    <w:p>
      <w:pPr>
        <w:widowControl/>
        <w:shd w:val="clear" w:color="auto" w:fill="FFFFFF"/>
        <w:rPr>
          <w:color w:val="000000"/>
          <w:kern w:val="0"/>
          <w:szCs w:val="26"/>
        </w:rPr>
        <w:sectPr>
          <w:pgSz w:w="11906" w:h="16838"/>
          <w:pgMar w:top="1440" w:right="1588" w:bottom="1191" w:left="1588" w:header="850" w:footer="992" w:gutter="0"/>
          <w:cols w:space="425" w:num="1"/>
          <w:docGrid w:type="lines" w:linePitch="354" w:charSpace="0"/>
        </w:sectPr>
      </w:pPr>
    </w:p>
    <w:p>
      <w:pPr>
        <w:pStyle w:val="2"/>
        <w:spacing w:beforeLines="0" w:afterLines="0" w:line="240" w:lineRule="auto"/>
      </w:pPr>
      <w:bookmarkStart w:id="129" w:name="_Toc499059501"/>
      <w:bookmarkStart w:id="130" w:name="_Toc502699385"/>
      <w:bookmarkStart w:id="131" w:name="_Toc499060238"/>
      <w:r>
        <w:t>11建设项目环境保护“三同时”竣工验收登记表</w:t>
      </w:r>
      <w:bookmarkEnd w:id="129"/>
      <w:bookmarkEnd w:id="130"/>
      <w:bookmarkEnd w:id="131"/>
    </w:p>
    <w:p>
      <w:pPr>
        <w:ind w:firstLine="720"/>
        <w:jc w:val="center"/>
        <w:rPr>
          <w:rFonts w:eastAsia="黑体"/>
          <w:color w:val="000000"/>
          <w:sz w:val="36"/>
        </w:rPr>
      </w:pPr>
      <w:r>
        <w:rPr>
          <w:rFonts w:eastAsia="黑体"/>
          <w:color w:val="000000"/>
          <w:sz w:val="36"/>
        </w:rPr>
        <w:t>建设项目工程竣工环境保护“三同时”验收登记表</w:t>
      </w:r>
    </w:p>
    <w:p>
      <w:pPr>
        <w:spacing w:line="300" w:lineRule="exact"/>
        <w:ind w:firstLine="240" w:firstLineChars="100"/>
        <w:rPr>
          <w:color w:val="000000"/>
          <w:sz w:val="24"/>
        </w:rPr>
      </w:pPr>
      <w:r>
        <w:rPr>
          <w:color w:val="000000"/>
          <w:sz w:val="24"/>
        </w:rPr>
        <w:t>填表单位（盖章）</w:t>
      </w:r>
      <w:r>
        <w:rPr>
          <w:rFonts w:hint="eastAsia"/>
          <w:color w:val="000000"/>
          <w:sz w:val="24"/>
        </w:rPr>
        <w:t>：</w:t>
      </w:r>
      <w:r>
        <w:rPr>
          <w:color w:val="000000"/>
          <w:sz w:val="24"/>
          <w:szCs w:val="21"/>
        </w:rPr>
        <w:t>山东元通监测有限公司</w:t>
      </w:r>
      <w:r>
        <w:rPr>
          <w:color w:val="000000"/>
          <w:sz w:val="32"/>
        </w:rPr>
        <w:t xml:space="preserve">   </w:t>
      </w:r>
      <w:r>
        <w:rPr>
          <w:color w:val="000000"/>
          <w:sz w:val="24"/>
        </w:rPr>
        <w:t xml:space="preserve">         填表人（签字）：                                                  </w:t>
      </w:r>
      <w:r>
        <w:rPr>
          <w:color w:val="000000"/>
          <w:spacing w:val="40"/>
          <w:sz w:val="24"/>
        </w:rPr>
        <w:t>项目经办人</w:t>
      </w:r>
      <w:r>
        <w:rPr>
          <w:color w:val="000000"/>
          <w:sz w:val="24"/>
        </w:rPr>
        <w:t>（签字）：</w:t>
      </w:r>
    </w:p>
    <w:tbl>
      <w:tblPr>
        <w:tblStyle w:val="47"/>
        <w:tblW w:w="213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09"/>
        <w:gridCol w:w="1417"/>
        <w:gridCol w:w="1302"/>
        <w:gridCol w:w="1358"/>
        <w:gridCol w:w="1276"/>
        <w:gridCol w:w="1418"/>
        <w:gridCol w:w="1417"/>
        <w:gridCol w:w="1276"/>
        <w:gridCol w:w="1276"/>
        <w:gridCol w:w="1744"/>
        <w:gridCol w:w="1091"/>
        <w:gridCol w:w="653"/>
        <w:gridCol w:w="1756"/>
        <w:gridCol w:w="993"/>
        <w:gridCol w:w="739"/>
        <w:gridCol w:w="619"/>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restart"/>
            <w:vAlign w:val="center"/>
          </w:tcPr>
          <w:p>
            <w:pPr>
              <w:spacing w:line="240" w:lineRule="auto"/>
              <w:jc w:val="center"/>
              <w:rPr>
                <w:sz w:val="22"/>
              </w:rPr>
            </w:pPr>
            <w:r>
              <w:rPr>
                <w:sz w:val="22"/>
              </w:rPr>
              <w:t>建设项目</w:t>
            </w:r>
          </w:p>
        </w:tc>
        <w:tc>
          <w:tcPr>
            <w:tcW w:w="2426" w:type="dxa"/>
            <w:gridSpan w:val="2"/>
            <w:vAlign w:val="center"/>
          </w:tcPr>
          <w:p>
            <w:pPr>
              <w:spacing w:line="240" w:lineRule="auto"/>
              <w:jc w:val="center"/>
              <w:rPr>
                <w:sz w:val="22"/>
              </w:rPr>
            </w:pPr>
            <w:r>
              <w:rPr>
                <w:sz w:val="22"/>
              </w:rPr>
              <w:t>项目名称</w:t>
            </w:r>
          </w:p>
        </w:tc>
        <w:tc>
          <w:tcPr>
            <w:tcW w:w="6771" w:type="dxa"/>
            <w:gridSpan w:val="5"/>
            <w:vAlign w:val="center"/>
          </w:tcPr>
          <w:p>
            <w:pPr>
              <w:spacing w:line="240" w:lineRule="auto"/>
              <w:jc w:val="center"/>
              <w:rPr>
                <w:color w:val="000000"/>
                <w:sz w:val="22"/>
              </w:rPr>
            </w:pPr>
            <w:r>
              <w:rPr>
                <w:color w:val="000000"/>
                <w:sz w:val="22"/>
              </w:rPr>
              <w:t>临沂周兴建材有限公司生产加工石膏贴面板、石膏制品和机械加工项目</w:t>
            </w:r>
          </w:p>
        </w:tc>
        <w:tc>
          <w:tcPr>
            <w:tcW w:w="2552" w:type="dxa"/>
            <w:gridSpan w:val="2"/>
            <w:vAlign w:val="center"/>
          </w:tcPr>
          <w:p>
            <w:pPr>
              <w:spacing w:line="240" w:lineRule="auto"/>
              <w:jc w:val="center"/>
              <w:rPr>
                <w:color w:val="000000"/>
                <w:sz w:val="22"/>
              </w:rPr>
            </w:pPr>
            <w:r>
              <w:rPr>
                <w:rFonts w:hint="eastAsia"/>
                <w:color w:val="000000"/>
                <w:sz w:val="22"/>
              </w:rPr>
              <w:t>项目代码</w:t>
            </w:r>
          </w:p>
        </w:tc>
        <w:tc>
          <w:tcPr>
            <w:tcW w:w="2835" w:type="dxa"/>
            <w:gridSpan w:val="2"/>
            <w:vAlign w:val="center"/>
          </w:tcPr>
          <w:p>
            <w:pPr>
              <w:spacing w:line="240" w:lineRule="auto"/>
              <w:jc w:val="center"/>
              <w:rPr>
                <w:color w:val="000000"/>
                <w:sz w:val="22"/>
              </w:rPr>
            </w:pPr>
            <w:r>
              <w:rPr>
                <w:rFonts w:hint="eastAsia"/>
                <w:color w:val="000000"/>
                <w:sz w:val="22"/>
              </w:rPr>
              <w:t>—</w:t>
            </w:r>
          </w:p>
        </w:tc>
        <w:tc>
          <w:tcPr>
            <w:tcW w:w="2409" w:type="dxa"/>
            <w:gridSpan w:val="2"/>
            <w:vAlign w:val="center"/>
          </w:tcPr>
          <w:p>
            <w:pPr>
              <w:spacing w:line="240" w:lineRule="auto"/>
              <w:jc w:val="center"/>
              <w:rPr>
                <w:color w:val="000000"/>
                <w:sz w:val="22"/>
              </w:rPr>
            </w:pPr>
            <w:r>
              <w:rPr>
                <w:rFonts w:hint="eastAsia"/>
                <w:color w:val="000000"/>
                <w:sz w:val="22"/>
              </w:rPr>
              <w:t>建设地点</w:t>
            </w:r>
          </w:p>
        </w:tc>
        <w:tc>
          <w:tcPr>
            <w:tcW w:w="3477" w:type="dxa"/>
            <w:gridSpan w:val="4"/>
            <w:vAlign w:val="center"/>
          </w:tcPr>
          <w:p>
            <w:pPr>
              <w:spacing w:line="240" w:lineRule="auto"/>
              <w:jc w:val="center"/>
              <w:rPr>
                <w:color w:val="000000"/>
                <w:sz w:val="22"/>
              </w:rPr>
            </w:pPr>
            <w:r>
              <w:rPr>
                <w:sz w:val="22"/>
              </w:rPr>
              <w:t>临沂国家高新技术产业开发区罗西街道朱隆工业园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sz w:val="22"/>
              </w:rPr>
              <w:t>行业类别</w:t>
            </w:r>
            <w:r>
              <w:rPr>
                <w:rFonts w:hint="eastAsia"/>
                <w:sz w:val="22"/>
              </w:rPr>
              <w:t>（分类管理名录）</w:t>
            </w:r>
          </w:p>
        </w:tc>
        <w:tc>
          <w:tcPr>
            <w:tcW w:w="6771" w:type="dxa"/>
            <w:gridSpan w:val="5"/>
            <w:vAlign w:val="center"/>
          </w:tcPr>
          <w:p>
            <w:pPr>
              <w:spacing w:line="240" w:lineRule="auto"/>
              <w:jc w:val="center"/>
              <w:rPr>
                <w:sz w:val="22"/>
              </w:rPr>
            </w:pPr>
            <w:r>
              <w:rPr>
                <w:rFonts w:hint="eastAsia"/>
                <w:sz w:val="22"/>
              </w:rPr>
              <w:t>C3024轻质建筑材料制造，C3515建筑材料生产专用机械制造</w:t>
            </w:r>
          </w:p>
        </w:tc>
        <w:tc>
          <w:tcPr>
            <w:tcW w:w="2552" w:type="dxa"/>
            <w:gridSpan w:val="2"/>
            <w:vAlign w:val="center"/>
          </w:tcPr>
          <w:p>
            <w:pPr>
              <w:spacing w:line="240" w:lineRule="auto"/>
              <w:jc w:val="center"/>
              <w:rPr>
                <w:sz w:val="22"/>
              </w:rPr>
            </w:pPr>
            <w:r>
              <w:rPr>
                <w:rFonts w:hint="eastAsia"/>
                <w:sz w:val="22"/>
              </w:rPr>
              <w:t>建设性质</w:t>
            </w:r>
          </w:p>
        </w:tc>
        <w:tc>
          <w:tcPr>
            <w:tcW w:w="8721" w:type="dxa"/>
            <w:gridSpan w:val="8"/>
            <w:vAlign w:val="center"/>
          </w:tcPr>
          <w:p>
            <w:pPr>
              <w:spacing w:line="240" w:lineRule="auto"/>
              <w:jc w:val="center"/>
              <w:rPr>
                <w:sz w:val="22"/>
              </w:rPr>
            </w:pPr>
            <w:r>
              <w:rPr>
                <w:sz w:val="22"/>
              </w:rPr>
              <w:t>新建√</w:t>
            </w:r>
            <w:r>
              <w:rPr>
                <w:rFonts w:hint="eastAsia"/>
                <w:sz w:val="22"/>
              </w:rPr>
              <w:t xml:space="preserve"> </w:t>
            </w:r>
            <w:r>
              <w:rPr>
                <w:sz w:val="22"/>
              </w:rPr>
              <w:t xml:space="preserve">   改扩建  </w:t>
            </w:r>
            <w:r>
              <w:rPr>
                <w:rFonts w:hint="eastAsia"/>
                <w:sz w:val="22"/>
              </w:rPr>
              <w:t xml:space="preserve">  </w:t>
            </w:r>
            <w:r>
              <w:rPr>
                <w:sz w:val="22"/>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sz w:val="22"/>
              </w:rPr>
              <w:t>设计生产能力</w:t>
            </w:r>
          </w:p>
        </w:tc>
        <w:tc>
          <w:tcPr>
            <w:tcW w:w="6771" w:type="dxa"/>
            <w:gridSpan w:val="5"/>
            <w:vAlign w:val="center"/>
          </w:tcPr>
          <w:p>
            <w:pPr>
              <w:spacing w:line="240" w:lineRule="auto"/>
              <w:jc w:val="center"/>
              <w:rPr>
                <w:sz w:val="22"/>
              </w:rPr>
            </w:pPr>
            <w:r>
              <w:rPr>
                <w:rFonts w:hint="eastAsia"/>
                <w:sz w:val="22"/>
              </w:rPr>
              <w:t>年生产石膏贴面板28万平方米，石膏线条80万根，机械设备30台</w:t>
            </w:r>
          </w:p>
        </w:tc>
        <w:tc>
          <w:tcPr>
            <w:tcW w:w="2552" w:type="dxa"/>
            <w:gridSpan w:val="2"/>
            <w:vAlign w:val="center"/>
          </w:tcPr>
          <w:p>
            <w:pPr>
              <w:spacing w:line="240" w:lineRule="auto"/>
              <w:jc w:val="center"/>
              <w:rPr>
                <w:sz w:val="22"/>
              </w:rPr>
            </w:pPr>
            <w:r>
              <w:rPr>
                <w:rFonts w:hint="eastAsia"/>
                <w:sz w:val="22"/>
              </w:rPr>
              <w:t>实际生产能力</w:t>
            </w:r>
          </w:p>
        </w:tc>
        <w:tc>
          <w:tcPr>
            <w:tcW w:w="2835" w:type="dxa"/>
            <w:gridSpan w:val="2"/>
            <w:vAlign w:val="center"/>
          </w:tcPr>
          <w:p>
            <w:pPr>
              <w:spacing w:line="240" w:lineRule="auto"/>
              <w:jc w:val="center"/>
              <w:rPr>
                <w:sz w:val="22"/>
              </w:rPr>
            </w:pPr>
            <w:r>
              <w:rPr>
                <w:rFonts w:hint="eastAsia"/>
                <w:sz w:val="22"/>
              </w:rPr>
              <w:t>年生产石膏贴面板28万平方米，石膏线条80万根，机械设备30台</w:t>
            </w:r>
          </w:p>
        </w:tc>
        <w:tc>
          <w:tcPr>
            <w:tcW w:w="2409" w:type="dxa"/>
            <w:gridSpan w:val="2"/>
            <w:vAlign w:val="center"/>
          </w:tcPr>
          <w:p>
            <w:pPr>
              <w:spacing w:line="240" w:lineRule="auto"/>
              <w:jc w:val="center"/>
              <w:rPr>
                <w:sz w:val="22"/>
              </w:rPr>
            </w:pPr>
            <w:r>
              <w:rPr>
                <w:rFonts w:hint="eastAsia"/>
                <w:sz w:val="22"/>
              </w:rPr>
              <w:t>环评单位</w:t>
            </w:r>
          </w:p>
        </w:tc>
        <w:tc>
          <w:tcPr>
            <w:tcW w:w="3477" w:type="dxa"/>
            <w:gridSpan w:val="4"/>
            <w:vAlign w:val="center"/>
          </w:tcPr>
          <w:p>
            <w:pPr>
              <w:spacing w:line="240" w:lineRule="auto"/>
              <w:jc w:val="center"/>
              <w:rPr>
                <w:sz w:val="22"/>
              </w:rPr>
            </w:pPr>
            <w:r>
              <w:rPr>
                <w:rFonts w:hint="eastAsia"/>
                <w:sz w:val="22"/>
              </w:rPr>
              <w:t>宁夏华之洁环境技术有限公司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sz w:val="22"/>
              </w:rPr>
              <w:t>环评</w:t>
            </w:r>
            <w:r>
              <w:rPr>
                <w:rFonts w:hint="eastAsia"/>
                <w:sz w:val="22"/>
              </w:rPr>
              <w:t>文件审批机关</w:t>
            </w:r>
          </w:p>
        </w:tc>
        <w:tc>
          <w:tcPr>
            <w:tcW w:w="6771" w:type="dxa"/>
            <w:gridSpan w:val="5"/>
            <w:vAlign w:val="center"/>
          </w:tcPr>
          <w:p>
            <w:pPr>
              <w:spacing w:line="240" w:lineRule="auto"/>
              <w:jc w:val="center"/>
              <w:rPr>
                <w:sz w:val="22"/>
              </w:rPr>
            </w:pPr>
            <w:r>
              <w:rPr>
                <w:rFonts w:hint="eastAsia"/>
                <w:color w:val="000000"/>
                <w:sz w:val="22"/>
              </w:rPr>
              <w:t>临沂市环境保护局高新技术产业开发区分局</w:t>
            </w:r>
          </w:p>
        </w:tc>
        <w:tc>
          <w:tcPr>
            <w:tcW w:w="2552" w:type="dxa"/>
            <w:gridSpan w:val="2"/>
            <w:vAlign w:val="center"/>
          </w:tcPr>
          <w:p>
            <w:pPr>
              <w:spacing w:line="240" w:lineRule="auto"/>
              <w:jc w:val="center"/>
              <w:rPr>
                <w:sz w:val="22"/>
              </w:rPr>
            </w:pPr>
            <w:r>
              <w:rPr>
                <w:rFonts w:hint="eastAsia"/>
                <w:sz w:val="22"/>
              </w:rPr>
              <w:t>审批文号</w:t>
            </w:r>
          </w:p>
        </w:tc>
        <w:tc>
          <w:tcPr>
            <w:tcW w:w="2835" w:type="dxa"/>
            <w:gridSpan w:val="2"/>
            <w:vAlign w:val="center"/>
          </w:tcPr>
          <w:p>
            <w:pPr>
              <w:spacing w:line="240" w:lineRule="auto"/>
              <w:jc w:val="center"/>
              <w:rPr>
                <w:sz w:val="22"/>
              </w:rPr>
            </w:pPr>
            <w:r>
              <w:rPr>
                <w:rFonts w:hint="eastAsia"/>
                <w:sz w:val="22"/>
              </w:rPr>
              <w:t>临环高表[2017]62号</w:t>
            </w:r>
          </w:p>
        </w:tc>
        <w:tc>
          <w:tcPr>
            <w:tcW w:w="2409" w:type="dxa"/>
            <w:gridSpan w:val="2"/>
            <w:vAlign w:val="center"/>
          </w:tcPr>
          <w:p>
            <w:pPr>
              <w:spacing w:line="240" w:lineRule="auto"/>
              <w:jc w:val="center"/>
              <w:rPr>
                <w:sz w:val="22"/>
              </w:rPr>
            </w:pPr>
            <w:r>
              <w:rPr>
                <w:rFonts w:hint="eastAsia"/>
                <w:sz w:val="22"/>
              </w:rPr>
              <w:t>环评文件类型</w:t>
            </w:r>
          </w:p>
        </w:tc>
        <w:tc>
          <w:tcPr>
            <w:tcW w:w="3477" w:type="dxa"/>
            <w:gridSpan w:val="4"/>
            <w:vAlign w:val="center"/>
          </w:tcPr>
          <w:p>
            <w:pPr>
              <w:spacing w:line="240" w:lineRule="auto"/>
              <w:jc w:val="center"/>
              <w:rPr>
                <w:sz w:val="22"/>
              </w:rPr>
            </w:pPr>
            <w:r>
              <w:rPr>
                <w:rFonts w:hint="eastAsia"/>
                <w:sz w:val="22"/>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rFonts w:hint="eastAsia"/>
                <w:sz w:val="22"/>
              </w:rPr>
              <w:t>开工日期</w:t>
            </w:r>
          </w:p>
        </w:tc>
        <w:tc>
          <w:tcPr>
            <w:tcW w:w="6771" w:type="dxa"/>
            <w:gridSpan w:val="5"/>
            <w:vAlign w:val="center"/>
          </w:tcPr>
          <w:p>
            <w:pPr>
              <w:spacing w:line="240" w:lineRule="auto"/>
              <w:jc w:val="center"/>
              <w:rPr>
                <w:sz w:val="22"/>
              </w:rPr>
            </w:pPr>
            <w:r>
              <w:rPr>
                <w:rFonts w:hint="eastAsia"/>
                <w:sz w:val="22"/>
              </w:rPr>
              <w:t>—</w:t>
            </w:r>
          </w:p>
        </w:tc>
        <w:tc>
          <w:tcPr>
            <w:tcW w:w="2552" w:type="dxa"/>
            <w:gridSpan w:val="2"/>
            <w:vAlign w:val="center"/>
          </w:tcPr>
          <w:p>
            <w:pPr>
              <w:spacing w:line="240" w:lineRule="auto"/>
              <w:jc w:val="center"/>
              <w:rPr>
                <w:sz w:val="22"/>
              </w:rPr>
            </w:pPr>
            <w:r>
              <w:rPr>
                <w:rFonts w:hint="eastAsia"/>
                <w:sz w:val="22"/>
              </w:rPr>
              <w:t>竣工日期</w:t>
            </w:r>
          </w:p>
        </w:tc>
        <w:tc>
          <w:tcPr>
            <w:tcW w:w="2835" w:type="dxa"/>
            <w:gridSpan w:val="2"/>
            <w:vAlign w:val="center"/>
          </w:tcPr>
          <w:p>
            <w:pPr>
              <w:spacing w:line="240" w:lineRule="auto"/>
              <w:jc w:val="center"/>
              <w:rPr>
                <w:sz w:val="22"/>
              </w:rPr>
            </w:pPr>
            <w:r>
              <w:rPr>
                <w:rFonts w:hint="eastAsia"/>
                <w:sz w:val="22"/>
              </w:rPr>
              <w:t>2015-08</w:t>
            </w:r>
          </w:p>
        </w:tc>
        <w:tc>
          <w:tcPr>
            <w:tcW w:w="2409" w:type="dxa"/>
            <w:gridSpan w:val="2"/>
            <w:vAlign w:val="center"/>
          </w:tcPr>
          <w:p>
            <w:pPr>
              <w:spacing w:line="240" w:lineRule="auto"/>
              <w:jc w:val="center"/>
              <w:rPr>
                <w:sz w:val="22"/>
              </w:rPr>
            </w:pPr>
            <w:r>
              <w:rPr>
                <w:rFonts w:hint="eastAsia"/>
                <w:sz w:val="22"/>
              </w:rPr>
              <w:t>排污许可证申领时间</w:t>
            </w:r>
          </w:p>
        </w:tc>
        <w:tc>
          <w:tcPr>
            <w:tcW w:w="3477" w:type="dxa"/>
            <w:gridSpan w:val="4"/>
            <w:vAlign w:val="center"/>
          </w:tcPr>
          <w:p>
            <w:pPr>
              <w:spacing w:line="240" w:lineRule="auto"/>
              <w:jc w:val="center"/>
              <w:rPr>
                <w:sz w:val="22"/>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sz w:val="22"/>
              </w:rPr>
              <w:t>环保设施设计单位</w:t>
            </w:r>
          </w:p>
        </w:tc>
        <w:tc>
          <w:tcPr>
            <w:tcW w:w="6771" w:type="dxa"/>
            <w:gridSpan w:val="5"/>
            <w:vAlign w:val="center"/>
          </w:tcPr>
          <w:p>
            <w:pPr>
              <w:spacing w:line="240" w:lineRule="auto"/>
              <w:jc w:val="center"/>
              <w:rPr>
                <w:color w:val="000000"/>
                <w:sz w:val="22"/>
              </w:rPr>
            </w:pPr>
            <w:r>
              <w:rPr>
                <w:color w:val="000000"/>
                <w:sz w:val="22"/>
              </w:rPr>
              <w:t>临沂周兴建材有限公司</w:t>
            </w:r>
          </w:p>
        </w:tc>
        <w:tc>
          <w:tcPr>
            <w:tcW w:w="2552" w:type="dxa"/>
            <w:gridSpan w:val="2"/>
            <w:vAlign w:val="center"/>
          </w:tcPr>
          <w:p>
            <w:pPr>
              <w:spacing w:line="240" w:lineRule="auto"/>
              <w:jc w:val="center"/>
              <w:rPr>
                <w:color w:val="000000"/>
                <w:sz w:val="22"/>
              </w:rPr>
            </w:pPr>
            <w:r>
              <w:rPr>
                <w:rFonts w:hint="eastAsia"/>
                <w:color w:val="000000"/>
                <w:sz w:val="22"/>
              </w:rPr>
              <w:t>环保设施施工单位</w:t>
            </w:r>
          </w:p>
        </w:tc>
        <w:tc>
          <w:tcPr>
            <w:tcW w:w="2835" w:type="dxa"/>
            <w:gridSpan w:val="2"/>
            <w:vAlign w:val="center"/>
          </w:tcPr>
          <w:p>
            <w:pPr>
              <w:spacing w:line="240" w:lineRule="auto"/>
              <w:jc w:val="center"/>
              <w:rPr>
                <w:color w:val="000000"/>
                <w:sz w:val="22"/>
              </w:rPr>
            </w:pPr>
            <w:r>
              <w:rPr>
                <w:color w:val="000000"/>
                <w:sz w:val="22"/>
              </w:rPr>
              <w:t>临沂周兴建材有限公司</w:t>
            </w:r>
          </w:p>
        </w:tc>
        <w:tc>
          <w:tcPr>
            <w:tcW w:w="2409" w:type="dxa"/>
            <w:gridSpan w:val="2"/>
            <w:vAlign w:val="center"/>
          </w:tcPr>
          <w:p>
            <w:pPr>
              <w:spacing w:line="240" w:lineRule="auto"/>
              <w:jc w:val="center"/>
              <w:rPr>
                <w:color w:val="000000"/>
                <w:sz w:val="22"/>
              </w:rPr>
            </w:pPr>
            <w:r>
              <w:rPr>
                <w:rFonts w:hint="eastAsia"/>
                <w:color w:val="000000"/>
                <w:sz w:val="22"/>
              </w:rPr>
              <w:t>本工程排污许可证编号</w:t>
            </w:r>
          </w:p>
        </w:tc>
        <w:tc>
          <w:tcPr>
            <w:tcW w:w="3477" w:type="dxa"/>
            <w:gridSpan w:val="4"/>
            <w:vAlign w:val="center"/>
          </w:tcPr>
          <w:p>
            <w:pPr>
              <w:spacing w:line="240" w:lineRule="auto"/>
              <w:jc w:val="center"/>
              <w:rPr>
                <w:color w:val="000000"/>
                <w:sz w:val="22"/>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rFonts w:hint="eastAsia"/>
                <w:sz w:val="22"/>
              </w:rPr>
              <w:t>验收单位</w:t>
            </w:r>
          </w:p>
        </w:tc>
        <w:tc>
          <w:tcPr>
            <w:tcW w:w="6771" w:type="dxa"/>
            <w:gridSpan w:val="5"/>
            <w:vAlign w:val="center"/>
          </w:tcPr>
          <w:p>
            <w:pPr>
              <w:spacing w:line="240" w:lineRule="auto"/>
              <w:jc w:val="center"/>
              <w:rPr>
                <w:sz w:val="22"/>
              </w:rPr>
            </w:pPr>
            <w:r>
              <w:rPr>
                <w:color w:val="000000"/>
                <w:sz w:val="22"/>
              </w:rPr>
              <w:t>临沂周兴建材有限公司</w:t>
            </w:r>
          </w:p>
        </w:tc>
        <w:tc>
          <w:tcPr>
            <w:tcW w:w="2552" w:type="dxa"/>
            <w:gridSpan w:val="2"/>
            <w:vAlign w:val="center"/>
          </w:tcPr>
          <w:p>
            <w:pPr>
              <w:spacing w:line="240" w:lineRule="auto"/>
              <w:jc w:val="center"/>
              <w:rPr>
                <w:sz w:val="22"/>
              </w:rPr>
            </w:pPr>
            <w:r>
              <w:rPr>
                <w:rFonts w:hint="eastAsia"/>
                <w:sz w:val="22"/>
              </w:rPr>
              <w:t>环保设施监测单位</w:t>
            </w:r>
          </w:p>
        </w:tc>
        <w:tc>
          <w:tcPr>
            <w:tcW w:w="2835" w:type="dxa"/>
            <w:gridSpan w:val="2"/>
            <w:vAlign w:val="center"/>
          </w:tcPr>
          <w:p>
            <w:pPr>
              <w:spacing w:line="240" w:lineRule="auto"/>
              <w:jc w:val="center"/>
              <w:rPr>
                <w:sz w:val="22"/>
              </w:rPr>
            </w:pPr>
            <w:r>
              <w:rPr>
                <w:rFonts w:hint="eastAsia"/>
                <w:sz w:val="22"/>
              </w:rPr>
              <w:t>山东元通监测有限公司</w:t>
            </w:r>
          </w:p>
        </w:tc>
        <w:tc>
          <w:tcPr>
            <w:tcW w:w="2409" w:type="dxa"/>
            <w:gridSpan w:val="2"/>
            <w:vAlign w:val="center"/>
          </w:tcPr>
          <w:p>
            <w:pPr>
              <w:spacing w:line="240" w:lineRule="auto"/>
              <w:jc w:val="center"/>
              <w:rPr>
                <w:sz w:val="22"/>
              </w:rPr>
            </w:pPr>
            <w:r>
              <w:rPr>
                <w:rFonts w:hint="eastAsia"/>
                <w:sz w:val="22"/>
              </w:rPr>
              <w:t>验收监测时工况</w:t>
            </w:r>
          </w:p>
        </w:tc>
        <w:tc>
          <w:tcPr>
            <w:tcW w:w="3477" w:type="dxa"/>
            <w:gridSpan w:val="4"/>
            <w:vAlign w:val="center"/>
          </w:tcPr>
          <w:p>
            <w:pPr>
              <w:spacing w:line="240" w:lineRule="auto"/>
              <w:jc w:val="center"/>
              <w:rPr>
                <w:sz w:val="22"/>
              </w:rPr>
            </w:pPr>
            <w:r>
              <w:rPr>
                <w:rFonts w:hint="eastAsia"/>
                <w:sz w:val="22"/>
              </w:rPr>
              <w:t>79%~88%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rFonts w:hint="eastAsia"/>
                <w:sz w:val="22"/>
              </w:rPr>
              <w:t>投资总概算（万元）</w:t>
            </w:r>
          </w:p>
        </w:tc>
        <w:tc>
          <w:tcPr>
            <w:tcW w:w="6771" w:type="dxa"/>
            <w:gridSpan w:val="5"/>
            <w:vAlign w:val="center"/>
          </w:tcPr>
          <w:p>
            <w:pPr>
              <w:spacing w:line="240" w:lineRule="auto"/>
              <w:jc w:val="center"/>
              <w:rPr>
                <w:sz w:val="22"/>
              </w:rPr>
            </w:pPr>
            <w:r>
              <w:rPr>
                <w:rFonts w:hint="eastAsia"/>
                <w:sz w:val="22"/>
              </w:rPr>
              <w:t>150</w:t>
            </w:r>
          </w:p>
        </w:tc>
        <w:tc>
          <w:tcPr>
            <w:tcW w:w="2552" w:type="dxa"/>
            <w:gridSpan w:val="2"/>
            <w:vAlign w:val="center"/>
          </w:tcPr>
          <w:p>
            <w:pPr>
              <w:spacing w:line="240" w:lineRule="auto"/>
              <w:jc w:val="center"/>
              <w:rPr>
                <w:sz w:val="22"/>
              </w:rPr>
            </w:pPr>
            <w:r>
              <w:rPr>
                <w:rFonts w:hint="eastAsia"/>
                <w:sz w:val="22"/>
              </w:rPr>
              <w:t>环保投资总概算（万元）</w:t>
            </w:r>
          </w:p>
        </w:tc>
        <w:tc>
          <w:tcPr>
            <w:tcW w:w="2835" w:type="dxa"/>
            <w:gridSpan w:val="2"/>
            <w:vAlign w:val="center"/>
          </w:tcPr>
          <w:p>
            <w:pPr>
              <w:spacing w:line="240" w:lineRule="auto"/>
              <w:jc w:val="center"/>
              <w:rPr>
                <w:sz w:val="22"/>
              </w:rPr>
            </w:pPr>
            <w:r>
              <w:rPr>
                <w:rFonts w:hint="eastAsia"/>
                <w:sz w:val="22"/>
              </w:rPr>
              <w:t>19</w:t>
            </w:r>
          </w:p>
        </w:tc>
        <w:tc>
          <w:tcPr>
            <w:tcW w:w="2409" w:type="dxa"/>
            <w:gridSpan w:val="2"/>
            <w:vAlign w:val="center"/>
          </w:tcPr>
          <w:p>
            <w:pPr>
              <w:spacing w:line="240" w:lineRule="auto"/>
              <w:jc w:val="center"/>
              <w:rPr>
                <w:sz w:val="22"/>
              </w:rPr>
            </w:pPr>
            <w:r>
              <w:rPr>
                <w:rFonts w:hint="eastAsia"/>
                <w:sz w:val="22"/>
              </w:rPr>
              <w:t>所占比例（%）</w:t>
            </w:r>
          </w:p>
        </w:tc>
        <w:tc>
          <w:tcPr>
            <w:tcW w:w="3477" w:type="dxa"/>
            <w:gridSpan w:val="4"/>
            <w:vAlign w:val="center"/>
          </w:tcPr>
          <w:p>
            <w:pPr>
              <w:spacing w:line="240" w:lineRule="auto"/>
              <w:jc w:val="center"/>
              <w:rPr>
                <w:sz w:val="22"/>
              </w:rPr>
            </w:pPr>
            <w:r>
              <w:rPr>
                <w:rFonts w:hint="eastAsia"/>
                <w:sz w:val="22"/>
              </w:rPr>
              <w:t>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sz w:val="22"/>
              </w:rPr>
              <w:t>实际总投资（万元）</w:t>
            </w:r>
          </w:p>
        </w:tc>
        <w:tc>
          <w:tcPr>
            <w:tcW w:w="6771" w:type="dxa"/>
            <w:gridSpan w:val="5"/>
            <w:vAlign w:val="center"/>
          </w:tcPr>
          <w:p>
            <w:pPr>
              <w:spacing w:line="240" w:lineRule="auto"/>
              <w:jc w:val="center"/>
              <w:rPr>
                <w:sz w:val="22"/>
              </w:rPr>
            </w:pPr>
            <w:r>
              <w:rPr>
                <w:rFonts w:hint="eastAsia"/>
                <w:sz w:val="22"/>
              </w:rPr>
              <w:t>150</w:t>
            </w:r>
          </w:p>
        </w:tc>
        <w:tc>
          <w:tcPr>
            <w:tcW w:w="2552" w:type="dxa"/>
            <w:gridSpan w:val="2"/>
            <w:vAlign w:val="center"/>
          </w:tcPr>
          <w:p>
            <w:pPr>
              <w:spacing w:line="240" w:lineRule="auto"/>
              <w:jc w:val="center"/>
              <w:rPr>
                <w:sz w:val="22"/>
              </w:rPr>
            </w:pPr>
            <w:r>
              <w:rPr>
                <w:rFonts w:hint="eastAsia"/>
                <w:sz w:val="22"/>
              </w:rPr>
              <w:t>实际环保投资（万元）</w:t>
            </w:r>
          </w:p>
        </w:tc>
        <w:tc>
          <w:tcPr>
            <w:tcW w:w="2835" w:type="dxa"/>
            <w:gridSpan w:val="2"/>
            <w:vAlign w:val="center"/>
          </w:tcPr>
          <w:p>
            <w:pPr>
              <w:spacing w:line="240" w:lineRule="auto"/>
              <w:jc w:val="center"/>
              <w:rPr>
                <w:sz w:val="22"/>
              </w:rPr>
            </w:pPr>
            <w:r>
              <w:rPr>
                <w:rFonts w:hint="eastAsia"/>
                <w:sz w:val="22"/>
              </w:rPr>
              <w:t>19</w:t>
            </w:r>
          </w:p>
        </w:tc>
        <w:tc>
          <w:tcPr>
            <w:tcW w:w="2409" w:type="dxa"/>
            <w:gridSpan w:val="2"/>
            <w:vAlign w:val="center"/>
          </w:tcPr>
          <w:p>
            <w:pPr>
              <w:spacing w:line="240" w:lineRule="auto"/>
              <w:jc w:val="center"/>
              <w:rPr>
                <w:sz w:val="22"/>
              </w:rPr>
            </w:pPr>
            <w:r>
              <w:rPr>
                <w:rFonts w:hint="eastAsia"/>
                <w:sz w:val="22"/>
              </w:rPr>
              <w:t>所占比例（%）</w:t>
            </w:r>
          </w:p>
        </w:tc>
        <w:tc>
          <w:tcPr>
            <w:tcW w:w="3477" w:type="dxa"/>
            <w:gridSpan w:val="4"/>
            <w:vAlign w:val="center"/>
          </w:tcPr>
          <w:p>
            <w:pPr>
              <w:spacing w:line="240" w:lineRule="auto"/>
              <w:jc w:val="center"/>
              <w:rPr>
                <w:sz w:val="22"/>
              </w:rPr>
            </w:pPr>
            <w:r>
              <w:rPr>
                <w:rFonts w:hint="eastAsia"/>
                <w:sz w:val="22"/>
              </w:rPr>
              <w:t>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sz w:val="22"/>
              </w:rPr>
              <w:t>废水治理（万元）</w:t>
            </w:r>
          </w:p>
        </w:tc>
        <w:tc>
          <w:tcPr>
            <w:tcW w:w="1302" w:type="dxa"/>
            <w:vAlign w:val="center"/>
          </w:tcPr>
          <w:p>
            <w:pPr>
              <w:spacing w:line="240" w:lineRule="auto"/>
              <w:jc w:val="center"/>
              <w:rPr>
                <w:color w:val="000000"/>
                <w:sz w:val="22"/>
              </w:rPr>
            </w:pPr>
            <w:r>
              <w:rPr>
                <w:rFonts w:hint="eastAsia"/>
                <w:sz w:val="22"/>
              </w:rPr>
              <w:t>2</w:t>
            </w:r>
          </w:p>
        </w:tc>
        <w:tc>
          <w:tcPr>
            <w:tcW w:w="1358" w:type="dxa"/>
            <w:vAlign w:val="center"/>
          </w:tcPr>
          <w:p>
            <w:pPr>
              <w:spacing w:line="240" w:lineRule="auto"/>
              <w:jc w:val="center"/>
              <w:rPr>
                <w:sz w:val="22"/>
              </w:rPr>
            </w:pPr>
            <w:r>
              <w:rPr>
                <w:sz w:val="22"/>
              </w:rPr>
              <w:t>废气治理（万元）</w:t>
            </w:r>
          </w:p>
        </w:tc>
        <w:tc>
          <w:tcPr>
            <w:tcW w:w="1276" w:type="dxa"/>
            <w:vAlign w:val="center"/>
          </w:tcPr>
          <w:p>
            <w:pPr>
              <w:spacing w:line="240" w:lineRule="auto"/>
              <w:jc w:val="center"/>
              <w:rPr>
                <w:sz w:val="22"/>
              </w:rPr>
            </w:pPr>
            <w:r>
              <w:rPr>
                <w:rFonts w:hint="eastAsia"/>
                <w:sz w:val="22"/>
              </w:rPr>
              <w:t>12</w:t>
            </w:r>
          </w:p>
        </w:tc>
        <w:tc>
          <w:tcPr>
            <w:tcW w:w="1418" w:type="dxa"/>
            <w:vAlign w:val="center"/>
          </w:tcPr>
          <w:p>
            <w:pPr>
              <w:spacing w:line="240" w:lineRule="auto"/>
              <w:jc w:val="center"/>
              <w:rPr>
                <w:sz w:val="22"/>
              </w:rPr>
            </w:pPr>
            <w:r>
              <w:rPr>
                <w:sz w:val="22"/>
              </w:rPr>
              <w:t>噪声治理（万元）</w:t>
            </w:r>
          </w:p>
        </w:tc>
        <w:tc>
          <w:tcPr>
            <w:tcW w:w="1417" w:type="dxa"/>
            <w:vAlign w:val="center"/>
          </w:tcPr>
          <w:p>
            <w:pPr>
              <w:spacing w:line="240" w:lineRule="auto"/>
              <w:jc w:val="center"/>
              <w:rPr>
                <w:sz w:val="22"/>
              </w:rPr>
            </w:pPr>
            <w:r>
              <w:rPr>
                <w:rFonts w:hint="eastAsia"/>
                <w:sz w:val="22"/>
              </w:rPr>
              <w:t>1.5</w:t>
            </w:r>
          </w:p>
        </w:tc>
        <w:tc>
          <w:tcPr>
            <w:tcW w:w="2552" w:type="dxa"/>
            <w:gridSpan w:val="2"/>
            <w:vAlign w:val="center"/>
          </w:tcPr>
          <w:p>
            <w:pPr>
              <w:spacing w:line="240" w:lineRule="auto"/>
              <w:jc w:val="center"/>
              <w:rPr>
                <w:sz w:val="22"/>
              </w:rPr>
            </w:pPr>
            <w:r>
              <w:rPr>
                <w:rFonts w:hint="eastAsia"/>
                <w:sz w:val="22"/>
              </w:rPr>
              <w:t>固体废物治理（万元）</w:t>
            </w:r>
          </w:p>
        </w:tc>
        <w:tc>
          <w:tcPr>
            <w:tcW w:w="2835" w:type="dxa"/>
            <w:gridSpan w:val="2"/>
            <w:vAlign w:val="center"/>
          </w:tcPr>
          <w:p>
            <w:pPr>
              <w:spacing w:line="240" w:lineRule="auto"/>
              <w:jc w:val="center"/>
              <w:rPr>
                <w:sz w:val="22"/>
              </w:rPr>
            </w:pPr>
            <w:r>
              <w:rPr>
                <w:rFonts w:hint="eastAsia"/>
                <w:sz w:val="22"/>
              </w:rPr>
              <w:t>3</w:t>
            </w:r>
          </w:p>
        </w:tc>
        <w:tc>
          <w:tcPr>
            <w:tcW w:w="2409" w:type="dxa"/>
            <w:gridSpan w:val="2"/>
            <w:vAlign w:val="center"/>
          </w:tcPr>
          <w:p>
            <w:pPr>
              <w:spacing w:line="240" w:lineRule="auto"/>
              <w:jc w:val="center"/>
              <w:rPr>
                <w:sz w:val="22"/>
              </w:rPr>
            </w:pPr>
            <w:r>
              <w:rPr>
                <w:rFonts w:hint="eastAsia"/>
                <w:sz w:val="22"/>
              </w:rPr>
              <w:t>绿化及生态（万元）</w:t>
            </w:r>
          </w:p>
        </w:tc>
        <w:tc>
          <w:tcPr>
            <w:tcW w:w="993" w:type="dxa"/>
            <w:vAlign w:val="center"/>
          </w:tcPr>
          <w:p>
            <w:pPr>
              <w:spacing w:line="240" w:lineRule="auto"/>
              <w:jc w:val="center"/>
              <w:rPr>
                <w:sz w:val="22"/>
              </w:rPr>
            </w:pPr>
            <w:r>
              <w:rPr>
                <w:rFonts w:hint="eastAsia"/>
                <w:sz w:val="22"/>
              </w:rPr>
              <w:t>0.5</w:t>
            </w:r>
          </w:p>
        </w:tc>
        <w:tc>
          <w:tcPr>
            <w:tcW w:w="1358" w:type="dxa"/>
            <w:gridSpan w:val="2"/>
            <w:vAlign w:val="center"/>
          </w:tcPr>
          <w:p>
            <w:pPr>
              <w:spacing w:line="240" w:lineRule="auto"/>
              <w:jc w:val="center"/>
              <w:rPr>
                <w:sz w:val="22"/>
              </w:rPr>
            </w:pPr>
            <w:r>
              <w:rPr>
                <w:rFonts w:hint="eastAsia"/>
                <w:sz w:val="22"/>
              </w:rPr>
              <w:t>其他（万元）</w:t>
            </w:r>
          </w:p>
        </w:tc>
        <w:tc>
          <w:tcPr>
            <w:tcW w:w="1126" w:type="dxa"/>
            <w:vAlign w:val="center"/>
          </w:tcPr>
          <w:p>
            <w:pPr>
              <w:spacing w:line="240" w:lineRule="auto"/>
              <w:jc w:val="center"/>
              <w:rPr>
                <w:sz w:val="22"/>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sz w:val="22"/>
              </w:rPr>
            </w:pPr>
            <w:r>
              <w:rPr>
                <w:sz w:val="22"/>
              </w:rPr>
              <w:t>新增废水处理设施能力</w:t>
            </w:r>
          </w:p>
        </w:tc>
        <w:tc>
          <w:tcPr>
            <w:tcW w:w="6771" w:type="dxa"/>
            <w:gridSpan w:val="5"/>
            <w:vAlign w:val="center"/>
          </w:tcPr>
          <w:p>
            <w:pPr>
              <w:spacing w:line="240" w:lineRule="auto"/>
              <w:jc w:val="center"/>
              <w:rPr>
                <w:sz w:val="22"/>
              </w:rPr>
            </w:pPr>
            <w:r>
              <w:rPr>
                <w:sz w:val="22"/>
              </w:rPr>
              <w:t>-</w:t>
            </w:r>
          </w:p>
        </w:tc>
        <w:tc>
          <w:tcPr>
            <w:tcW w:w="2552" w:type="dxa"/>
            <w:gridSpan w:val="2"/>
            <w:vAlign w:val="center"/>
          </w:tcPr>
          <w:p>
            <w:pPr>
              <w:spacing w:line="240" w:lineRule="auto"/>
              <w:jc w:val="center"/>
              <w:rPr>
                <w:sz w:val="22"/>
              </w:rPr>
            </w:pPr>
            <w:r>
              <w:rPr>
                <w:rFonts w:hint="eastAsia"/>
                <w:sz w:val="22"/>
              </w:rPr>
              <w:t>新增废气处理设施能力</w:t>
            </w:r>
          </w:p>
        </w:tc>
        <w:tc>
          <w:tcPr>
            <w:tcW w:w="2835" w:type="dxa"/>
            <w:gridSpan w:val="2"/>
            <w:vAlign w:val="center"/>
          </w:tcPr>
          <w:p>
            <w:pPr>
              <w:spacing w:line="240" w:lineRule="auto"/>
              <w:jc w:val="center"/>
              <w:rPr>
                <w:sz w:val="22"/>
              </w:rPr>
            </w:pPr>
            <w:r>
              <w:rPr>
                <w:sz w:val="22"/>
              </w:rPr>
              <w:t>-</w:t>
            </w:r>
          </w:p>
        </w:tc>
        <w:tc>
          <w:tcPr>
            <w:tcW w:w="2409" w:type="dxa"/>
            <w:gridSpan w:val="2"/>
            <w:vAlign w:val="center"/>
          </w:tcPr>
          <w:p>
            <w:pPr>
              <w:spacing w:line="240" w:lineRule="auto"/>
              <w:jc w:val="center"/>
              <w:rPr>
                <w:sz w:val="22"/>
              </w:rPr>
            </w:pPr>
            <w:r>
              <w:rPr>
                <w:rFonts w:hint="eastAsia"/>
                <w:sz w:val="22"/>
              </w:rPr>
              <w:t>年平均工作时间</w:t>
            </w:r>
          </w:p>
        </w:tc>
        <w:tc>
          <w:tcPr>
            <w:tcW w:w="3477" w:type="dxa"/>
            <w:gridSpan w:val="4"/>
            <w:vAlign w:val="center"/>
          </w:tcPr>
          <w:p>
            <w:pPr>
              <w:spacing w:line="240" w:lineRule="auto"/>
              <w:jc w:val="center"/>
              <w:rPr>
                <w:sz w:val="22"/>
              </w:rPr>
            </w:pPr>
            <w:r>
              <w:rPr>
                <w:rFonts w:hint="eastAsia"/>
                <w:sz w:val="22"/>
              </w:rPr>
              <w:t>2400h/a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3277" w:type="dxa"/>
            <w:gridSpan w:val="3"/>
            <w:vAlign w:val="center"/>
          </w:tcPr>
          <w:p>
            <w:pPr>
              <w:spacing w:line="240" w:lineRule="auto"/>
              <w:jc w:val="center"/>
              <w:rPr>
                <w:sz w:val="22"/>
              </w:rPr>
            </w:pPr>
            <w:r>
              <w:rPr>
                <w:rFonts w:hint="eastAsia"/>
                <w:sz w:val="22"/>
              </w:rPr>
              <w:t>运营单位</w:t>
            </w:r>
          </w:p>
        </w:tc>
        <w:tc>
          <w:tcPr>
            <w:tcW w:w="5354" w:type="dxa"/>
            <w:gridSpan w:val="4"/>
            <w:vAlign w:val="center"/>
          </w:tcPr>
          <w:p>
            <w:pPr>
              <w:spacing w:line="240" w:lineRule="auto"/>
              <w:jc w:val="center"/>
              <w:rPr>
                <w:sz w:val="22"/>
              </w:rPr>
            </w:pPr>
            <w:r>
              <w:rPr>
                <w:color w:val="000000"/>
                <w:sz w:val="22"/>
              </w:rPr>
              <w:t>临沂周兴建材有限公司</w:t>
            </w:r>
          </w:p>
        </w:tc>
        <w:tc>
          <w:tcPr>
            <w:tcW w:w="3969" w:type="dxa"/>
            <w:gridSpan w:val="3"/>
            <w:vAlign w:val="center"/>
          </w:tcPr>
          <w:p>
            <w:pPr>
              <w:spacing w:line="240" w:lineRule="auto"/>
              <w:jc w:val="center"/>
              <w:rPr>
                <w:sz w:val="22"/>
              </w:rPr>
            </w:pPr>
            <w:r>
              <w:rPr>
                <w:rFonts w:hint="eastAsia"/>
                <w:sz w:val="22"/>
              </w:rPr>
              <w:t>运营单位社会统一信用代码（或组织机构代码）</w:t>
            </w:r>
          </w:p>
        </w:tc>
        <w:tc>
          <w:tcPr>
            <w:tcW w:w="2835" w:type="dxa"/>
            <w:gridSpan w:val="2"/>
            <w:vAlign w:val="center"/>
          </w:tcPr>
          <w:p>
            <w:pPr>
              <w:spacing w:line="240" w:lineRule="auto"/>
              <w:jc w:val="center"/>
              <w:rPr>
                <w:sz w:val="22"/>
              </w:rPr>
            </w:pPr>
            <w:r>
              <w:rPr>
                <w:rFonts w:hint="eastAsia"/>
                <w:sz w:val="22"/>
              </w:rPr>
              <w:t>91371300552202751K</w:t>
            </w:r>
          </w:p>
        </w:tc>
        <w:tc>
          <w:tcPr>
            <w:tcW w:w="2409" w:type="dxa"/>
            <w:gridSpan w:val="2"/>
            <w:vAlign w:val="center"/>
          </w:tcPr>
          <w:p>
            <w:pPr>
              <w:spacing w:line="240" w:lineRule="auto"/>
              <w:jc w:val="center"/>
              <w:rPr>
                <w:sz w:val="22"/>
              </w:rPr>
            </w:pPr>
            <w:r>
              <w:rPr>
                <w:rFonts w:hint="eastAsia"/>
                <w:sz w:val="22"/>
              </w:rPr>
              <w:t>验收时间</w:t>
            </w:r>
          </w:p>
        </w:tc>
        <w:tc>
          <w:tcPr>
            <w:tcW w:w="3477" w:type="dxa"/>
            <w:gridSpan w:val="4"/>
            <w:vAlign w:val="center"/>
          </w:tcPr>
          <w:p>
            <w:pPr>
              <w:spacing w:line="240" w:lineRule="auto"/>
              <w:jc w:val="center"/>
              <w:rPr>
                <w:sz w:val="22"/>
              </w:rPr>
            </w:pPr>
            <w:r>
              <w:rPr>
                <w:rFonts w:hint="eastAsia"/>
                <w:sz w:val="22"/>
              </w:rPr>
              <w:t>2017.12.21~2017.12.22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restart"/>
            <w:textDirection w:val="tbRlV"/>
            <w:vAlign w:val="center"/>
          </w:tcPr>
          <w:p>
            <w:pPr>
              <w:spacing w:line="240" w:lineRule="auto"/>
              <w:jc w:val="center"/>
              <w:rPr>
                <w:sz w:val="22"/>
              </w:rPr>
            </w:pPr>
            <w:r>
              <w:rPr>
                <w:sz w:val="22"/>
              </w:rPr>
              <w:t>污染物排放达标与总量控制(工业建设项目详填)</w:t>
            </w:r>
          </w:p>
        </w:tc>
        <w:tc>
          <w:tcPr>
            <w:tcW w:w="2426" w:type="dxa"/>
            <w:gridSpan w:val="2"/>
            <w:vAlign w:val="center"/>
          </w:tcPr>
          <w:p>
            <w:pPr>
              <w:spacing w:line="240" w:lineRule="auto"/>
              <w:jc w:val="center"/>
              <w:rPr>
                <w:sz w:val="22"/>
              </w:rPr>
            </w:pPr>
            <w:r>
              <w:rPr>
                <w:sz w:val="22"/>
              </w:rPr>
              <w:t>污染物</w:t>
            </w:r>
          </w:p>
        </w:tc>
        <w:tc>
          <w:tcPr>
            <w:tcW w:w="1302" w:type="dxa"/>
            <w:vAlign w:val="center"/>
          </w:tcPr>
          <w:p>
            <w:pPr>
              <w:spacing w:line="240" w:lineRule="auto"/>
              <w:jc w:val="center"/>
              <w:rPr>
                <w:sz w:val="22"/>
              </w:rPr>
            </w:pPr>
            <w:r>
              <w:rPr>
                <w:sz w:val="22"/>
              </w:rPr>
              <w:t>原有排放量</w:t>
            </w:r>
          </w:p>
          <w:p>
            <w:pPr>
              <w:spacing w:line="240" w:lineRule="auto"/>
              <w:jc w:val="center"/>
              <w:rPr>
                <w:sz w:val="22"/>
              </w:rPr>
            </w:pPr>
            <w:r>
              <w:rPr>
                <w:sz w:val="22"/>
              </w:rPr>
              <w:t>（1）</w:t>
            </w:r>
          </w:p>
        </w:tc>
        <w:tc>
          <w:tcPr>
            <w:tcW w:w="1358" w:type="dxa"/>
            <w:vAlign w:val="center"/>
          </w:tcPr>
          <w:p>
            <w:pPr>
              <w:spacing w:line="240" w:lineRule="auto"/>
              <w:jc w:val="center"/>
              <w:rPr>
                <w:sz w:val="22"/>
              </w:rPr>
            </w:pPr>
            <w:r>
              <w:rPr>
                <w:sz w:val="22"/>
              </w:rPr>
              <w:t>本期工程实际排放浓度（2）</w:t>
            </w:r>
          </w:p>
        </w:tc>
        <w:tc>
          <w:tcPr>
            <w:tcW w:w="1276" w:type="dxa"/>
            <w:vAlign w:val="center"/>
          </w:tcPr>
          <w:p>
            <w:pPr>
              <w:spacing w:line="240" w:lineRule="auto"/>
              <w:jc w:val="center"/>
              <w:rPr>
                <w:sz w:val="22"/>
              </w:rPr>
            </w:pPr>
            <w:r>
              <w:rPr>
                <w:sz w:val="22"/>
              </w:rPr>
              <w:t>本期工程允许排放浓度（3）</w:t>
            </w:r>
          </w:p>
        </w:tc>
        <w:tc>
          <w:tcPr>
            <w:tcW w:w="1418" w:type="dxa"/>
            <w:vAlign w:val="center"/>
          </w:tcPr>
          <w:p>
            <w:pPr>
              <w:spacing w:line="240" w:lineRule="auto"/>
              <w:jc w:val="center"/>
              <w:rPr>
                <w:sz w:val="22"/>
              </w:rPr>
            </w:pPr>
            <w:r>
              <w:rPr>
                <w:sz w:val="22"/>
              </w:rPr>
              <w:t>本期工程产生量（4）</w:t>
            </w:r>
          </w:p>
        </w:tc>
        <w:tc>
          <w:tcPr>
            <w:tcW w:w="1417" w:type="dxa"/>
            <w:vAlign w:val="center"/>
          </w:tcPr>
          <w:p>
            <w:pPr>
              <w:spacing w:line="240" w:lineRule="auto"/>
              <w:jc w:val="center"/>
              <w:rPr>
                <w:sz w:val="22"/>
              </w:rPr>
            </w:pPr>
            <w:r>
              <w:rPr>
                <w:sz w:val="22"/>
              </w:rPr>
              <w:t>本期工程自身削减量（5）</w:t>
            </w:r>
          </w:p>
        </w:tc>
        <w:tc>
          <w:tcPr>
            <w:tcW w:w="1276" w:type="dxa"/>
            <w:vAlign w:val="center"/>
          </w:tcPr>
          <w:p>
            <w:pPr>
              <w:spacing w:line="240" w:lineRule="auto"/>
              <w:jc w:val="center"/>
              <w:rPr>
                <w:sz w:val="22"/>
              </w:rPr>
            </w:pPr>
            <w:r>
              <w:rPr>
                <w:sz w:val="22"/>
              </w:rPr>
              <w:t>本期工程实际排放量（6）</w:t>
            </w:r>
          </w:p>
        </w:tc>
        <w:tc>
          <w:tcPr>
            <w:tcW w:w="1276" w:type="dxa"/>
            <w:vAlign w:val="center"/>
          </w:tcPr>
          <w:p>
            <w:pPr>
              <w:spacing w:line="240" w:lineRule="auto"/>
              <w:jc w:val="center"/>
              <w:rPr>
                <w:sz w:val="22"/>
              </w:rPr>
            </w:pPr>
            <w:r>
              <w:rPr>
                <w:sz w:val="22"/>
              </w:rPr>
              <w:t>本期工程核定排放总量（7）</w:t>
            </w:r>
          </w:p>
        </w:tc>
        <w:tc>
          <w:tcPr>
            <w:tcW w:w="1744" w:type="dxa"/>
            <w:vAlign w:val="center"/>
          </w:tcPr>
          <w:p>
            <w:pPr>
              <w:spacing w:line="240" w:lineRule="auto"/>
              <w:jc w:val="center"/>
              <w:rPr>
                <w:sz w:val="22"/>
              </w:rPr>
            </w:pPr>
            <w:r>
              <w:rPr>
                <w:sz w:val="22"/>
              </w:rPr>
              <w:t>本期工程“以新带老”削减量（8）</w:t>
            </w:r>
          </w:p>
        </w:tc>
        <w:tc>
          <w:tcPr>
            <w:tcW w:w="1744" w:type="dxa"/>
            <w:gridSpan w:val="2"/>
            <w:vAlign w:val="center"/>
          </w:tcPr>
          <w:p>
            <w:pPr>
              <w:spacing w:line="240" w:lineRule="auto"/>
              <w:jc w:val="center"/>
              <w:rPr>
                <w:sz w:val="22"/>
              </w:rPr>
            </w:pPr>
            <w:r>
              <w:rPr>
                <w:sz w:val="22"/>
              </w:rPr>
              <w:t>全厂实际排放总量（9）</w:t>
            </w:r>
          </w:p>
        </w:tc>
        <w:tc>
          <w:tcPr>
            <w:tcW w:w="1756" w:type="dxa"/>
            <w:vAlign w:val="center"/>
          </w:tcPr>
          <w:p>
            <w:pPr>
              <w:spacing w:line="240" w:lineRule="auto"/>
              <w:jc w:val="center"/>
              <w:rPr>
                <w:sz w:val="22"/>
              </w:rPr>
            </w:pPr>
            <w:r>
              <w:rPr>
                <w:sz w:val="22"/>
              </w:rPr>
              <w:t>全厂核定排放总量（10）</w:t>
            </w:r>
          </w:p>
        </w:tc>
        <w:tc>
          <w:tcPr>
            <w:tcW w:w="1732" w:type="dxa"/>
            <w:gridSpan w:val="2"/>
            <w:vAlign w:val="center"/>
          </w:tcPr>
          <w:p>
            <w:pPr>
              <w:spacing w:line="240" w:lineRule="auto"/>
              <w:jc w:val="center"/>
              <w:rPr>
                <w:sz w:val="22"/>
              </w:rPr>
            </w:pPr>
            <w:r>
              <w:rPr>
                <w:sz w:val="22"/>
              </w:rPr>
              <w:t>区域平衡替代削减量（11）</w:t>
            </w:r>
          </w:p>
        </w:tc>
        <w:tc>
          <w:tcPr>
            <w:tcW w:w="1745" w:type="dxa"/>
            <w:gridSpan w:val="2"/>
            <w:vAlign w:val="center"/>
          </w:tcPr>
          <w:p>
            <w:pPr>
              <w:spacing w:line="240" w:lineRule="auto"/>
              <w:jc w:val="center"/>
              <w:rPr>
                <w:sz w:val="22"/>
              </w:rPr>
            </w:pPr>
            <w:r>
              <w:rPr>
                <w:sz w:val="22"/>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color w:val="000000"/>
                <w:sz w:val="22"/>
              </w:rPr>
              <w:t>废水</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highlight w:val="yellow"/>
              </w:rPr>
            </w:pPr>
            <w:r>
              <w:rPr>
                <w:sz w:val="22"/>
              </w:rPr>
              <w:t>-</w:t>
            </w:r>
          </w:p>
        </w:tc>
        <w:tc>
          <w:tcPr>
            <w:tcW w:w="1276" w:type="dxa"/>
            <w:vAlign w:val="center"/>
          </w:tcPr>
          <w:p>
            <w:pPr>
              <w:spacing w:line="240" w:lineRule="auto"/>
              <w:jc w:val="center"/>
              <w:rPr>
                <w:sz w:val="22"/>
                <w:highlight w:val="yellow"/>
              </w:rPr>
            </w:pPr>
            <w:r>
              <w:rPr>
                <w:sz w:val="22"/>
              </w:rPr>
              <w:t>-</w:t>
            </w:r>
          </w:p>
        </w:tc>
        <w:tc>
          <w:tcPr>
            <w:tcW w:w="1418" w:type="dxa"/>
            <w:vAlign w:val="center"/>
          </w:tcPr>
          <w:p>
            <w:pPr>
              <w:spacing w:line="240" w:lineRule="auto"/>
              <w:jc w:val="center"/>
              <w:rPr>
                <w:sz w:val="22"/>
              </w:rPr>
            </w:pPr>
            <w:r>
              <w:rPr>
                <w:rFonts w:hint="eastAsia"/>
                <w:sz w:val="22"/>
              </w:rPr>
              <w:t>0.0480</w:t>
            </w:r>
          </w:p>
        </w:tc>
        <w:tc>
          <w:tcPr>
            <w:tcW w:w="1417" w:type="dxa"/>
            <w:vAlign w:val="center"/>
          </w:tcPr>
          <w:p>
            <w:pPr>
              <w:spacing w:line="240" w:lineRule="auto"/>
              <w:jc w:val="center"/>
              <w:rPr>
                <w:sz w:val="22"/>
              </w:rPr>
            </w:pPr>
            <w:r>
              <w:rPr>
                <w:rFonts w:hint="eastAsia"/>
                <w:sz w:val="22"/>
              </w:rPr>
              <w:t>0.0480</w:t>
            </w:r>
          </w:p>
        </w:tc>
        <w:tc>
          <w:tcPr>
            <w:tcW w:w="1276" w:type="dxa"/>
            <w:vAlign w:val="center"/>
          </w:tcPr>
          <w:p>
            <w:pPr>
              <w:spacing w:line="240" w:lineRule="auto"/>
              <w:jc w:val="center"/>
              <w:rPr>
                <w:sz w:val="22"/>
              </w:rPr>
            </w:pPr>
            <w:r>
              <w:rPr>
                <w:rFonts w:hint="eastAsia"/>
                <w:sz w:val="22"/>
              </w:rPr>
              <w:t>0</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highlight w:val="yellow"/>
              </w:rPr>
            </w:pPr>
            <w:r>
              <w:rPr>
                <w:rFonts w:hint="eastAsia"/>
                <w:sz w:val="22"/>
              </w:rPr>
              <w:t>0</w:t>
            </w:r>
          </w:p>
        </w:tc>
        <w:tc>
          <w:tcPr>
            <w:tcW w:w="1756" w:type="dxa"/>
            <w:vAlign w:val="center"/>
          </w:tcPr>
          <w:p>
            <w:pPr>
              <w:spacing w:line="240" w:lineRule="auto"/>
              <w:jc w:val="center"/>
              <w:rPr>
                <w:sz w:val="22"/>
                <w:highlight w:val="yellow"/>
              </w:rPr>
            </w:pPr>
            <w:r>
              <w:rPr>
                <w:sz w:val="22"/>
              </w:rPr>
              <w:t>-</w:t>
            </w:r>
          </w:p>
        </w:tc>
        <w:tc>
          <w:tcPr>
            <w:tcW w:w="1732" w:type="dxa"/>
            <w:gridSpan w:val="2"/>
            <w:vAlign w:val="center"/>
          </w:tcPr>
          <w:p>
            <w:pPr>
              <w:spacing w:line="240" w:lineRule="auto"/>
              <w:jc w:val="center"/>
              <w:rPr>
                <w:sz w:val="22"/>
                <w:highlight w:val="yellow"/>
              </w:rPr>
            </w:pPr>
            <w:r>
              <w:rPr>
                <w:sz w:val="22"/>
              </w:rPr>
              <w:t>-</w:t>
            </w:r>
          </w:p>
        </w:tc>
        <w:tc>
          <w:tcPr>
            <w:tcW w:w="1745" w:type="dxa"/>
            <w:gridSpan w:val="2"/>
            <w:vAlign w:val="center"/>
          </w:tcPr>
          <w:p>
            <w:pPr>
              <w:spacing w:line="240" w:lineRule="auto"/>
              <w:jc w:val="center"/>
              <w:rPr>
                <w:sz w:val="22"/>
                <w:highlight w:val="yellow"/>
              </w:rPr>
            </w:pPr>
            <w:r>
              <w:rPr>
                <w:sz w:val="22"/>
              </w:rPr>
              <w:t>+</w:t>
            </w:r>
            <w:r>
              <w:rPr>
                <w:rFonts w:hint="eastAsia"/>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color w:val="000000"/>
                <w:sz w:val="22"/>
              </w:rPr>
              <w:t>化学需氧量</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sz w:val="22"/>
              </w:rPr>
              <w:t>-</w:t>
            </w:r>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highlight w:val="yellow"/>
              </w:rPr>
            </w:pPr>
            <w:r>
              <w:rPr>
                <w:sz w:val="22"/>
              </w:rPr>
              <w:t>-</w:t>
            </w:r>
          </w:p>
        </w:tc>
        <w:tc>
          <w:tcPr>
            <w:tcW w:w="1276" w:type="dxa"/>
            <w:vAlign w:val="center"/>
          </w:tcPr>
          <w:p>
            <w:pPr>
              <w:spacing w:line="240" w:lineRule="auto"/>
              <w:jc w:val="center"/>
              <w:rPr>
                <w:sz w:val="22"/>
                <w:highlight w:val="yellow"/>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highlight w:val="yellow"/>
              </w:rPr>
            </w:pPr>
            <w:r>
              <w:rPr>
                <w:sz w:val="22"/>
              </w:rPr>
              <w:t>-</w:t>
            </w:r>
          </w:p>
        </w:tc>
        <w:tc>
          <w:tcPr>
            <w:tcW w:w="1756" w:type="dxa"/>
            <w:vAlign w:val="center"/>
          </w:tcPr>
          <w:p>
            <w:pPr>
              <w:spacing w:line="240" w:lineRule="auto"/>
              <w:jc w:val="center"/>
              <w:rPr>
                <w:sz w:val="22"/>
                <w:highlight w:val="yellow"/>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highlight w:val="yellow"/>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rFonts w:hint="eastAsia"/>
                <w:color w:val="000000"/>
                <w:sz w:val="22"/>
              </w:rPr>
              <w:t>氨氮</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sz w:val="22"/>
              </w:rPr>
              <w:t>-</w:t>
            </w:r>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highlight w:val="yellow"/>
              </w:rPr>
            </w:pPr>
            <w:r>
              <w:rPr>
                <w:sz w:val="22"/>
              </w:rPr>
              <w:t>-</w:t>
            </w:r>
          </w:p>
        </w:tc>
        <w:tc>
          <w:tcPr>
            <w:tcW w:w="1276" w:type="dxa"/>
            <w:vAlign w:val="center"/>
          </w:tcPr>
          <w:p>
            <w:pPr>
              <w:spacing w:line="240" w:lineRule="auto"/>
              <w:jc w:val="center"/>
              <w:rPr>
                <w:sz w:val="22"/>
                <w:highlight w:val="yellow"/>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highlight w:val="yellow"/>
              </w:rPr>
            </w:pPr>
            <w:r>
              <w:rPr>
                <w:sz w:val="22"/>
              </w:rPr>
              <w:t>-</w:t>
            </w:r>
          </w:p>
        </w:tc>
        <w:tc>
          <w:tcPr>
            <w:tcW w:w="1756" w:type="dxa"/>
            <w:vAlign w:val="center"/>
          </w:tcPr>
          <w:p>
            <w:pPr>
              <w:spacing w:line="240" w:lineRule="auto"/>
              <w:jc w:val="center"/>
              <w:rPr>
                <w:sz w:val="22"/>
                <w:highlight w:val="yellow"/>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highlight w:val="yellow"/>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rFonts w:hint="eastAsia"/>
                <w:color w:val="000000"/>
                <w:kern w:val="0"/>
                <w:sz w:val="22"/>
              </w:rPr>
              <w:t>石油类</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sz w:val="22"/>
              </w:rPr>
              <w:t>-</w:t>
            </w:r>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highlight w:val="yellow"/>
              </w:rPr>
            </w:pPr>
            <w:r>
              <w:rPr>
                <w:sz w:val="22"/>
              </w:rPr>
              <w:t>-</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sz w:val="22"/>
              </w:rPr>
              <w:t>-</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color w:val="000000"/>
                <w:sz w:val="22"/>
              </w:rPr>
              <w:t>废气</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rFonts w:hint="eastAsia"/>
                <w:sz w:val="22"/>
              </w:rPr>
              <w:t>2105.0</w:t>
            </w:r>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rFonts w:hint="eastAsia"/>
                <w:sz w:val="22"/>
              </w:rPr>
              <w:t>2105.0</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rFonts w:hint="eastAsia"/>
                <w:sz w:val="22"/>
              </w:rPr>
              <w:t>2105.0</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rFonts w:hint="eastAsia"/>
                <w:sz w:val="22"/>
              </w:rPr>
              <w:t>+2105.0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rFonts w:hint="eastAsia"/>
                <w:color w:val="000000"/>
                <w:kern w:val="0"/>
                <w:sz w:val="22"/>
              </w:rPr>
              <w:t>二氧化硫</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sz w:val="22"/>
              </w:rPr>
              <w:t>-</w:t>
            </w:r>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sz w:val="22"/>
              </w:rPr>
              <w:t>-</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rFonts w:hint="eastAsia"/>
                <w:color w:val="000000"/>
                <w:kern w:val="0"/>
                <w:sz w:val="22"/>
              </w:rPr>
              <w:t>烟尘</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sz w:val="22"/>
              </w:rPr>
              <w:t>-</w:t>
            </w:r>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sz w:val="22"/>
              </w:rPr>
              <w:t>-</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rFonts w:hint="eastAsia"/>
                <w:color w:val="000000"/>
                <w:kern w:val="0"/>
                <w:sz w:val="22"/>
              </w:rPr>
              <w:t>工业粉尘</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rFonts w:hint="eastAsia"/>
                <w:sz w:val="22"/>
              </w:rPr>
              <w:t>8.0</w:t>
            </w:r>
          </w:p>
        </w:tc>
        <w:tc>
          <w:tcPr>
            <w:tcW w:w="1276" w:type="dxa"/>
            <w:vAlign w:val="center"/>
          </w:tcPr>
          <w:p>
            <w:pPr>
              <w:spacing w:line="240" w:lineRule="auto"/>
              <w:jc w:val="center"/>
              <w:rPr>
                <w:sz w:val="22"/>
              </w:rPr>
            </w:pPr>
            <w:r>
              <w:rPr>
                <w:rFonts w:hint="eastAsia"/>
                <w:sz w:val="22"/>
              </w:rPr>
              <w:t>10</w:t>
            </w:r>
          </w:p>
        </w:tc>
        <w:tc>
          <w:tcPr>
            <w:tcW w:w="1418" w:type="dxa"/>
            <w:vAlign w:val="center"/>
          </w:tcPr>
          <w:p>
            <w:pPr>
              <w:spacing w:line="240" w:lineRule="auto"/>
              <w:jc w:val="center"/>
              <w:rPr>
                <w:sz w:val="22"/>
              </w:rPr>
            </w:pPr>
            <w:r>
              <w:rPr>
                <w:rFonts w:hint="eastAsia"/>
                <w:sz w:val="22"/>
              </w:rPr>
              <w:t>15.729</w:t>
            </w:r>
          </w:p>
        </w:tc>
        <w:tc>
          <w:tcPr>
            <w:tcW w:w="1417" w:type="dxa"/>
            <w:vAlign w:val="center"/>
          </w:tcPr>
          <w:p>
            <w:pPr>
              <w:spacing w:line="240" w:lineRule="auto"/>
              <w:jc w:val="center"/>
              <w:rPr>
                <w:sz w:val="22"/>
              </w:rPr>
            </w:pPr>
            <w:r>
              <w:rPr>
                <w:rFonts w:hint="eastAsia"/>
                <w:sz w:val="22"/>
              </w:rPr>
              <w:t>15.700</w:t>
            </w:r>
          </w:p>
        </w:tc>
        <w:tc>
          <w:tcPr>
            <w:tcW w:w="1276" w:type="dxa"/>
            <w:vAlign w:val="center"/>
          </w:tcPr>
          <w:p>
            <w:pPr>
              <w:spacing w:line="240" w:lineRule="auto"/>
              <w:jc w:val="center"/>
              <w:rPr>
                <w:sz w:val="22"/>
              </w:rPr>
            </w:pPr>
            <w:r>
              <w:rPr>
                <w:rFonts w:hint="eastAsia"/>
                <w:sz w:val="22"/>
              </w:rPr>
              <w:t>0.0290</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rFonts w:hint="eastAsia"/>
                <w:sz w:val="22"/>
              </w:rPr>
              <w:t>0.0290</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rFonts w:hint="eastAsia"/>
                <w:sz w:val="22"/>
              </w:rPr>
              <w:t>+0.0290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rFonts w:hint="eastAsia"/>
                <w:color w:val="000000"/>
                <w:kern w:val="0"/>
                <w:sz w:val="22"/>
              </w:rPr>
              <w:t>氮氧化物</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sz w:val="22"/>
              </w:rPr>
              <w:t>-</w:t>
            </w:r>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sz w:val="22"/>
              </w:rPr>
              <w:t>-</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2426" w:type="dxa"/>
            <w:gridSpan w:val="2"/>
            <w:vAlign w:val="center"/>
          </w:tcPr>
          <w:p>
            <w:pPr>
              <w:spacing w:line="240" w:lineRule="auto"/>
              <w:jc w:val="center"/>
              <w:rPr>
                <w:color w:val="000000"/>
                <w:sz w:val="22"/>
              </w:rPr>
            </w:pPr>
            <w:r>
              <w:rPr>
                <w:color w:val="000000"/>
                <w:sz w:val="22"/>
              </w:rPr>
              <w:t>工业固体废物</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rFonts w:hint="eastAsia"/>
                <w:sz w:val="22"/>
              </w:rPr>
              <w:t>0.0027</w:t>
            </w:r>
          </w:p>
        </w:tc>
        <w:tc>
          <w:tcPr>
            <w:tcW w:w="1417" w:type="dxa"/>
            <w:vAlign w:val="center"/>
          </w:tcPr>
          <w:p>
            <w:pPr>
              <w:spacing w:line="240" w:lineRule="auto"/>
              <w:jc w:val="center"/>
              <w:rPr>
                <w:sz w:val="22"/>
              </w:rPr>
            </w:pPr>
            <w:r>
              <w:rPr>
                <w:rFonts w:hint="eastAsia"/>
                <w:sz w:val="22"/>
              </w:rPr>
              <w:t>0.0027</w:t>
            </w:r>
          </w:p>
        </w:tc>
        <w:tc>
          <w:tcPr>
            <w:tcW w:w="1276" w:type="dxa"/>
            <w:vAlign w:val="center"/>
          </w:tcPr>
          <w:p>
            <w:pPr>
              <w:spacing w:line="240" w:lineRule="auto"/>
              <w:jc w:val="center"/>
              <w:rPr>
                <w:sz w:val="22"/>
              </w:rPr>
            </w:pPr>
            <w:r>
              <w:rPr>
                <w:rFonts w:hint="eastAsia"/>
                <w:sz w:val="22"/>
              </w:rPr>
              <w:t>0</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rFonts w:hint="eastAsia"/>
                <w:sz w:val="22"/>
              </w:rPr>
              <w:t>0</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sz w:val="22"/>
              </w:rPr>
              <w:t>+</w:t>
            </w:r>
            <w:r>
              <w:rPr>
                <w:rFonts w:hint="eastAsia"/>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1009" w:type="dxa"/>
            <w:vMerge w:val="restart"/>
            <w:vAlign w:val="center"/>
          </w:tcPr>
          <w:p>
            <w:pPr>
              <w:spacing w:line="240" w:lineRule="auto"/>
              <w:jc w:val="center"/>
              <w:rPr>
                <w:sz w:val="22"/>
              </w:rPr>
            </w:pPr>
            <w:r>
              <w:rPr>
                <w:sz w:val="22"/>
              </w:rPr>
              <w:t>与该项目有关的其他特征污染物</w:t>
            </w:r>
          </w:p>
        </w:tc>
        <w:tc>
          <w:tcPr>
            <w:tcW w:w="1417" w:type="dxa"/>
            <w:vAlign w:val="center"/>
          </w:tcPr>
          <w:p>
            <w:pPr>
              <w:spacing w:line="240" w:lineRule="auto"/>
              <w:jc w:val="center"/>
              <w:rPr>
                <w:sz w:val="22"/>
              </w:rPr>
            </w:pPr>
            <w:r>
              <w:rPr>
                <w:rFonts w:hint="eastAsia"/>
                <w:sz w:val="22"/>
              </w:rPr>
              <w:t>非甲烷总烃</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rFonts w:hint="eastAsia"/>
                <w:sz w:val="22"/>
              </w:rPr>
              <w:t>5.23</w:t>
            </w:r>
          </w:p>
        </w:tc>
        <w:tc>
          <w:tcPr>
            <w:tcW w:w="1276" w:type="dxa"/>
            <w:vAlign w:val="center"/>
          </w:tcPr>
          <w:p>
            <w:pPr>
              <w:spacing w:line="240" w:lineRule="auto"/>
              <w:jc w:val="center"/>
              <w:rPr>
                <w:sz w:val="22"/>
              </w:rPr>
            </w:pPr>
            <w:r>
              <w:rPr>
                <w:rFonts w:hint="eastAsia"/>
                <w:sz w:val="22"/>
              </w:rPr>
              <w:t>120</w:t>
            </w:r>
          </w:p>
        </w:tc>
        <w:tc>
          <w:tcPr>
            <w:tcW w:w="1418" w:type="dxa"/>
            <w:vAlign w:val="center"/>
          </w:tcPr>
          <w:p>
            <w:pPr>
              <w:spacing w:line="240" w:lineRule="auto"/>
              <w:jc w:val="center"/>
              <w:rPr>
                <w:sz w:val="22"/>
              </w:rPr>
            </w:pPr>
            <w:r>
              <w:rPr>
                <w:rFonts w:hint="eastAsia"/>
                <w:sz w:val="22"/>
              </w:rPr>
              <w:t>203.5430</w:t>
            </w:r>
          </w:p>
        </w:tc>
        <w:tc>
          <w:tcPr>
            <w:tcW w:w="1417" w:type="dxa"/>
            <w:vAlign w:val="center"/>
          </w:tcPr>
          <w:p>
            <w:pPr>
              <w:spacing w:line="240" w:lineRule="auto"/>
              <w:jc w:val="center"/>
              <w:rPr>
                <w:sz w:val="22"/>
              </w:rPr>
            </w:pPr>
            <w:r>
              <w:rPr>
                <w:rFonts w:hint="eastAsia"/>
                <w:sz w:val="22"/>
              </w:rPr>
              <w:t>203.4847</w:t>
            </w:r>
          </w:p>
        </w:tc>
        <w:tc>
          <w:tcPr>
            <w:tcW w:w="1276" w:type="dxa"/>
            <w:vAlign w:val="center"/>
          </w:tcPr>
          <w:p>
            <w:pPr>
              <w:spacing w:line="240" w:lineRule="auto"/>
              <w:jc w:val="center"/>
              <w:rPr>
                <w:sz w:val="22"/>
              </w:rPr>
            </w:pPr>
            <w:r>
              <w:rPr>
                <w:rFonts w:hint="eastAsia"/>
                <w:sz w:val="22"/>
              </w:rPr>
              <w:t>0.0583</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rFonts w:hint="eastAsia"/>
                <w:sz w:val="22"/>
              </w:rPr>
              <w:t>0.0583</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sz w:val="22"/>
              </w:rPr>
              <w:t>+</w:t>
            </w:r>
            <w:r>
              <w:rPr>
                <w:rFonts w:hint="eastAsia"/>
                <w:sz w:val="22"/>
              </w:rPr>
              <w:t>0.0583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1009" w:type="dxa"/>
            <w:vMerge w:val="continue"/>
            <w:vAlign w:val="center"/>
          </w:tcPr>
          <w:p>
            <w:pPr>
              <w:spacing w:line="240" w:lineRule="auto"/>
              <w:jc w:val="center"/>
              <w:rPr>
                <w:sz w:val="22"/>
              </w:rPr>
            </w:pPr>
          </w:p>
        </w:tc>
        <w:tc>
          <w:tcPr>
            <w:tcW w:w="1417" w:type="dxa"/>
            <w:vAlign w:val="center"/>
          </w:tcPr>
          <w:p>
            <w:pPr>
              <w:spacing w:line="240" w:lineRule="auto"/>
              <w:jc w:val="center"/>
              <w:rPr>
                <w:sz w:val="22"/>
              </w:rPr>
            </w:pPr>
            <w:r>
              <w:rPr>
                <w:sz w:val="22"/>
              </w:rPr>
              <w:t>-</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sz w:val="22"/>
              </w:rPr>
              <w:t>-</w:t>
            </w:r>
            <w:bookmarkStart w:id="132" w:name="_GoBack"/>
            <w:bookmarkEnd w:id="132"/>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sz w:val="22"/>
              </w:rPr>
              <w:t>-</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1009" w:type="dxa"/>
            <w:vMerge w:val="continue"/>
            <w:vAlign w:val="center"/>
          </w:tcPr>
          <w:p>
            <w:pPr>
              <w:spacing w:line="240" w:lineRule="auto"/>
              <w:jc w:val="center"/>
              <w:rPr>
                <w:sz w:val="22"/>
              </w:rPr>
            </w:pPr>
          </w:p>
        </w:tc>
        <w:tc>
          <w:tcPr>
            <w:tcW w:w="1417" w:type="dxa"/>
            <w:vAlign w:val="center"/>
          </w:tcPr>
          <w:p>
            <w:pPr>
              <w:spacing w:line="240" w:lineRule="auto"/>
              <w:jc w:val="center"/>
              <w:rPr>
                <w:sz w:val="22"/>
              </w:rPr>
            </w:pPr>
            <w:r>
              <w:rPr>
                <w:sz w:val="22"/>
              </w:rPr>
              <w:t>-</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sz w:val="22"/>
              </w:rPr>
              <w:t>-</w:t>
            </w:r>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sz w:val="22"/>
              </w:rPr>
              <w:t>-</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851" w:type="dxa"/>
            <w:vMerge w:val="continue"/>
            <w:vAlign w:val="center"/>
          </w:tcPr>
          <w:p>
            <w:pPr>
              <w:spacing w:line="240" w:lineRule="auto"/>
              <w:jc w:val="center"/>
              <w:rPr>
                <w:sz w:val="22"/>
              </w:rPr>
            </w:pPr>
          </w:p>
        </w:tc>
        <w:tc>
          <w:tcPr>
            <w:tcW w:w="1009" w:type="dxa"/>
            <w:vMerge w:val="continue"/>
            <w:vAlign w:val="center"/>
          </w:tcPr>
          <w:p>
            <w:pPr>
              <w:spacing w:line="240" w:lineRule="auto"/>
              <w:jc w:val="center"/>
              <w:rPr>
                <w:sz w:val="22"/>
              </w:rPr>
            </w:pPr>
          </w:p>
        </w:tc>
        <w:tc>
          <w:tcPr>
            <w:tcW w:w="1417" w:type="dxa"/>
            <w:vAlign w:val="center"/>
          </w:tcPr>
          <w:p>
            <w:pPr>
              <w:spacing w:line="240" w:lineRule="auto"/>
              <w:jc w:val="center"/>
              <w:rPr>
                <w:color w:val="000000"/>
                <w:sz w:val="22"/>
              </w:rPr>
            </w:pPr>
            <w:r>
              <w:rPr>
                <w:sz w:val="22"/>
              </w:rPr>
              <w:t>-</w:t>
            </w:r>
          </w:p>
        </w:tc>
        <w:tc>
          <w:tcPr>
            <w:tcW w:w="1302" w:type="dxa"/>
            <w:vAlign w:val="center"/>
          </w:tcPr>
          <w:p>
            <w:pPr>
              <w:spacing w:line="240" w:lineRule="auto"/>
              <w:jc w:val="center"/>
              <w:rPr>
                <w:sz w:val="22"/>
              </w:rPr>
            </w:pPr>
            <w:r>
              <w:rPr>
                <w:sz w:val="22"/>
              </w:rPr>
              <w:t>-</w:t>
            </w:r>
          </w:p>
        </w:tc>
        <w:tc>
          <w:tcPr>
            <w:tcW w:w="1358"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418" w:type="dxa"/>
            <w:vAlign w:val="center"/>
          </w:tcPr>
          <w:p>
            <w:pPr>
              <w:spacing w:line="240" w:lineRule="auto"/>
              <w:jc w:val="center"/>
              <w:rPr>
                <w:sz w:val="22"/>
              </w:rPr>
            </w:pPr>
            <w:r>
              <w:rPr>
                <w:sz w:val="22"/>
              </w:rPr>
              <w:t>-</w:t>
            </w:r>
          </w:p>
        </w:tc>
        <w:tc>
          <w:tcPr>
            <w:tcW w:w="1417"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276" w:type="dxa"/>
            <w:vAlign w:val="center"/>
          </w:tcPr>
          <w:p>
            <w:pPr>
              <w:spacing w:line="240" w:lineRule="auto"/>
              <w:jc w:val="center"/>
              <w:rPr>
                <w:sz w:val="22"/>
              </w:rPr>
            </w:pPr>
            <w:r>
              <w:rPr>
                <w:sz w:val="22"/>
              </w:rPr>
              <w:t>-</w:t>
            </w:r>
          </w:p>
        </w:tc>
        <w:tc>
          <w:tcPr>
            <w:tcW w:w="1744" w:type="dxa"/>
            <w:vAlign w:val="center"/>
          </w:tcPr>
          <w:p>
            <w:pPr>
              <w:spacing w:line="240" w:lineRule="auto"/>
              <w:jc w:val="center"/>
              <w:rPr>
                <w:sz w:val="22"/>
              </w:rPr>
            </w:pPr>
            <w:r>
              <w:rPr>
                <w:sz w:val="22"/>
              </w:rPr>
              <w:t>-</w:t>
            </w:r>
          </w:p>
        </w:tc>
        <w:tc>
          <w:tcPr>
            <w:tcW w:w="1744" w:type="dxa"/>
            <w:gridSpan w:val="2"/>
            <w:vAlign w:val="center"/>
          </w:tcPr>
          <w:p>
            <w:pPr>
              <w:spacing w:line="240" w:lineRule="auto"/>
              <w:jc w:val="center"/>
              <w:rPr>
                <w:sz w:val="22"/>
              </w:rPr>
            </w:pPr>
            <w:r>
              <w:rPr>
                <w:sz w:val="22"/>
              </w:rPr>
              <w:t>-</w:t>
            </w:r>
          </w:p>
        </w:tc>
        <w:tc>
          <w:tcPr>
            <w:tcW w:w="1756" w:type="dxa"/>
            <w:vAlign w:val="center"/>
          </w:tcPr>
          <w:p>
            <w:pPr>
              <w:spacing w:line="240" w:lineRule="auto"/>
              <w:jc w:val="center"/>
              <w:rPr>
                <w:sz w:val="22"/>
              </w:rPr>
            </w:pPr>
            <w:r>
              <w:rPr>
                <w:sz w:val="22"/>
              </w:rPr>
              <w:t>-</w:t>
            </w:r>
          </w:p>
        </w:tc>
        <w:tc>
          <w:tcPr>
            <w:tcW w:w="1732" w:type="dxa"/>
            <w:gridSpan w:val="2"/>
            <w:vAlign w:val="center"/>
          </w:tcPr>
          <w:p>
            <w:pPr>
              <w:spacing w:line="240" w:lineRule="auto"/>
              <w:jc w:val="center"/>
              <w:rPr>
                <w:sz w:val="22"/>
              </w:rPr>
            </w:pPr>
            <w:r>
              <w:rPr>
                <w:sz w:val="22"/>
              </w:rPr>
              <w:t>-</w:t>
            </w:r>
          </w:p>
        </w:tc>
        <w:tc>
          <w:tcPr>
            <w:tcW w:w="1745" w:type="dxa"/>
            <w:gridSpan w:val="2"/>
            <w:vAlign w:val="center"/>
          </w:tcPr>
          <w:p>
            <w:pPr>
              <w:spacing w:line="240" w:lineRule="auto"/>
              <w:jc w:val="center"/>
              <w:rPr>
                <w:sz w:val="22"/>
              </w:rPr>
            </w:pPr>
            <w:r>
              <w:rPr>
                <w:sz w:val="22"/>
              </w:rPr>
              <w:t>-</w:t>
            </w:r>
          </w:p>
        </w:tc>
      </w:tr>
    </w:tbl>
    <w:p>
      <w:pPr>
        <w:spacing w:line="240" w:lineRule="exact"/>
        <w:ind w:firstLine="360" w:firstLineChars="200"/>
        <w:rPr>
          <w:color w:val="000000"/>
          <w:sz w:val="18"/>
          <w:szCs w:val="18"/>
        </w:rPr>
      </w:pPr>
      <w:r>
        <w:rPr>
          <w:color w:val="000000"/>
          <w:sz w:val="18"/>
          <w:szCs w:val="18"/>
        </w:rPr>
        <w:t>注：1、排放增减量：(+)表示增加，(-)表示减少</w:t>
      </w:r>
      <w:r>
        <w:rPr>
          <w:rFonts w:hint="eastAsia"/>
          <w:color w:val="000000"/>
          <w:sz w:val="18"/>
          <w:szCs w:val="18"/>
        </w:rPr>
        <w:t>。</w:t>
      </w:r>
      <w:r>
        <w:rPr>
          <w:color w:val="000000"/>
          <w:sz w:val="18"/>
          <w:szCs w:val="18"/>
        </w:rPr>
        <w:t>2、(12)=(6)-(8)-(11)，(9)=(4)-(5)-(8)-(11)+(1)</w:t>
      </w:r>
      <w:r>
        <w:rPr>
          <w:rFonts w:hint="eastAsia"/>
          <w:color w:val="000000"/>
          <w:sz w:val="18"/>
          <w:szCs w:val="18"/>
        </w:rPr>
        <w:t>。</w:t>
      </w:r>
      <w:r>
        <w:rPr>
          <w:color w:val="000000"/>
          <w:sz w:val="18"/>
          <w:szCs w:val="18"/>
        </w:rPr>
        <w:t>3、计量单位：废水排放量——万吨/年；废气排放量——万标立方米/年；工业固体废物排放量——万吨/年；水污染物排放浓度——毫克/升；</w:t>
      </w:r>
    </w:p>
    <w:p>
      <w:pPr>
        <w:spacing w:line="240" w:lineRule="exact"/>
        <w:ind w:firstLine="990" w:firstLineChars="550"/>
        <w:rPr>
          <w:rFonts w:hint="eastAsia"/>
          <w:color w:val="000000"/>
          <w:sz w:val="18"/>
          <w:szCs w:val="18"/>
        </w:rPr>
      </w:pPr>
      <w:r>
        <w:rPr>
          <w:color w:val="000000"/>
          <w:sz w:val="18"/>
          <w:szCs w:val="18"/>
        </w:rPr>
        <w:t>大气污染物排放浓度——毫克/立方米；水污染物排放量——吨/年；大气污染物排放量——吨/年</w:t>
      </w:r>
      <w:r>
        <w:rPr>
          <w:rFonts w:hint="eastAsia"/>
          <w:color w:val="000000"/>
          <w:sz w:val="18"/>
          <w:szCs w:val="18"/>
        </w:rPr>
        <w:t>。</w:t>
      </w:r>
    </w:p>
    <w:p>
      <w:pPr>
        <w:spacing w:line="240" w:lineRule="exact"/>
        <w:ind w:firstLine="990" w:firstLineChars="550"/>
        <w:rPr>
          <w:rFonts w:hint="eastAsia"/>
          <w:color w:val="000000"/>
          <w:sz w:val="18"/>
          <w:szCs w:val="18"/>
        </w:rPr>
        <w:sectPr>
          <w:headerReference r:id="rId33" w:type="default"/>
          <w:footerReference r:id="rId35" w:type="default"/>
          <w:headerReference r:id="rId34" w:type="even"/>
          <w:footerReference r:id="rId36" w:type="even"/>
          <w:pgSz w:w="23814" w:h="16839" w:orient="landscape"/>
          <w:pgMar w:top="1588" w:right="1191" w:bottom="1418" w:left="1440" w:header="1077" w:footer="964" w:gutter="0"/>
          <w:cols w:space="425" w:num="1"/>
          <w:docGrid w:type="lines" w:linePitch="354" w:charSpace="0"/>
        </w:sectPr>
      </w:pPr>
    </w:p>
    <w:p>
      <w:pPr>
        <w:jc w:val="both"/>
      </w:pPr>
    </w:p>
    <w:p>
      <w:pPr>
        <w:jc w:val="both"/>
      </w:pPr>
    </w:p>
    <w:p>
      <w:pPr>
        <w:jc w:val="center"/>
      </w:pPr>
    </w:p>
    <w:p>
      <w:pPr>
        <w:spacing w:line="240" w:lineRule="exact"/>
        <w:rPr>
          <w:rFonts w:hint="eastAsia"/>
          <w:color w:val="000000"/>
          <w:sz w:val="18"/>
          <w:szCs w:val="18"/>
        </w:rPr>
      </w:pPr>
    </w:p>
    <w:sectPr>
      <w:headerReference r:id="rId37" w:type="default"/>
      <w:pgSz w:w="11906" w:h="16838"/>
      <w:pgMar w:top="1440" w:right="1418"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506020202030204"/>
    <w:charset w:val="00"/>
    <w:family w:val="swiss"/>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SnyderSpeed">
    <w:altName w:val="Courier New"/>
    <w:panose1 w:val="00000000000000000000"/>
    <w:charset w:val="00"/>
    <w:family w:val="auto"/>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MingLiU">
    <w:panose1 w:val="02020509000000000000"/>
    <w:charset w:val="88"/>
    <w:family w:val="modern"/>
    <w:pitch w:val="default"/>
    <w:sig w:usb0="A00002FF" w:usb1="28CFFCFA" w:usb2="00000016"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6"/>
    </w:pPr>
    <w:r>
      <w:fldChar w:fldCharType="begin"/>
    </w:r>
    <w:r>
      <w:instrText xml:space="preserve">PAGE   \* MERGEFORMAT</w:instrText>
    </w:r>
    <w:r>
      <w:fldChar w:fldCharType="separate"/>
    </w:r>
    <w:r>
      <w:rPr>
        <w:lang w:val="zh-CN"/>
      </w:rPr>
      <w:t>5</w:t>
    </w:r>
    <w:r>
      <w:rPr>
        <w:lang w:val="zh-CN"/>
      </w:rPr>
      <w:fldChar w:fldCharType="end"/>
    </w:r>
    <w:r>
      <w:rPr>
        <w:rFonts w:hint="eastAsia"/>
      </w:rPr>
      <w:t xml:space="preserve">                              山东元通监测有限公司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7"/>
    </w:pPr>
    <w:r>
      <w:fldChar w:fldCharType="begin"/>
    </w:r>
    <w:r>
      <w:instrText xml:space="preserve">PAGE   \* MERGEFORMAT</w:instrText>
    </w:r>
    <w:r>
      <w:fldChar w:fldCharType="separate"/>
    </w:r>
    <w:r>
      <w:rPr>
        <w:lang w:val="zh-CN"/>
      </w:rPr>
      <w:t>6</w:t>
    </w:r>
    <w:r>
      <w:rPr>
        <w:lang w:val="zh-CN"/>
      </w:rPr>
      <w:fldChar w:fldCharType="end"/>
    </w:r>
    <w:r>
      <w:rPr>
        <w:rFonts w:hint="eastAsia"/>
      </w:rPr>
      <w:t xml:space="preserve">                                                         山东元通监测有限公司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ordWrap w:val="0"/>
      <w:ind w:firstLine="360"/>
      <w:jc w:val="right"/>
    </w:pPr>
    <w:r>
      <w:fldChar w:fldCharType="begin"/>
    </w:r>
    <w:r>
      <w:instrText xml:space="preserve">PAGE   \* MERGEFORMAT</w:instrText>
    </w:r>
    <w:r>
      <w:fldChar w:fldCharType="separate"/>
    </w:r>
    <w:r>
      <w:rPr>
        <w:lang w:val="zh-CN"/>
      </w:rPr>
      <w:t>8</w:t>
    </w:r>
    <w:r>
      <w:rPr>
        <w:lang w:val="zh-CN"/>
      </w:rPr>
      <w:fldChar w:fldCharType="end"/>
    </w:r>
    <w:r>
      <w:rPr>
        <w:rFonts w:hint="eastAsia"/>
      </w:rPr>
      <w:t xml:space="preserve">                                                                        山东元通监测有限公司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7"/>
    </w:pPr>
    <w:r>
      <w:fldChar w:fldCharType="begin"/>
    </w:r>
    <w:r>
      <w:instrText xml:space="preserve">PAGE   \* MERGEFORMAT</w:instrText>
    </w:r>
    <w:r>
      <w:fldChar w:fldCharType="separate"/>
    </w:r>
    <w:r>
      <w:rPr>
        <w:lang w:val="zh-CN"/>
      </w:rPr>
      <w:t>12</w:t>
    </w:r>
    <w:r>
      <w:rPr>
        <w:lang w:val="zh-CN"/>
      </w:rPr>
      <w:fldChar w:fldCharType="end"/>
    </w:r>
    <w:r>
      <w:rPr>
        <w:rFonts w:hint="eastAsia"/>
      </w:rPr>
      <w:t xml:space="preserve">                             山东元通监测有限公司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ordWrap w:val="0"/>
      <w:ind w:firstLine="360"/>
      <w:jc w:val="right"/>
    </w:pPr>
    <w:r>
      <w:fldChar w:fldCharType="begin"/>
    </w:r>
    <w:r>
      <w:instrText xml:space="preserve">PAGE   \* MERGEFORMAT</w:instrText>
    </w:r>
    <w:r>
      <w:fldChar w:fldCharType="separate"/>
    </w:r>
    <w:r>
      <w:rPr>
        <w:lang w:val="zh-CN"/>
      </w:rPr>
      <w:t>34</w:t>
    </w:r>
    <w:r>
      <w:rPr>
        <w:lang w:val="zh-CN"/>
      </w:rPr>
      <w:fldChar w:fldCharType="end"/>
    </w:r>
    <w:r>
      <w:rPr>
        <w:rFonts w:hint="eastAsia"/>
      </w:rPr>
      <w:t xml:space="preserve">                                山东元通监测有限公司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7"/>
    </w:pPr>
    <w:r>
      <w:fldChar w:fldCharType="begin"/>
    </w:r>
    <w:r>
      <w:instrText xml:space="preserve">PAGE   \* MERGEFORMAT</w:instrText>
    </w:r>
    <w:r>
      <w:fldChar w:fldCharType="separate"/>
    </w:r>
    <w:r>
      <w:rPr>
        <w:lang w:val="zh-CN"/>
      </w:rPr>
      <w:t>29</w:t>
    </w:r>
    <w:r>
      <w:rPr>
        <w:lang w:val="zh-CN"/>
      </w:rPr>
      <w:fldChar w:fldCharType="end"/>
    </w:r>
    <w:r>
      <w:rPr>
        <w:rFonts w:hint="eastAsia"/>
      </w:rPr>
      <w:t xml:space="preserve">                                                         山东元通监测有限公司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7"/>
    </w:pPr>
    <w:r>
      <w:fldChar w:fldCharType="begin"/>
    </w:r>
    <w:r>
      <w:instrText xml:space="preserve">PAGE   \* MERGEFORMAT</w:instrText>
    </w:r>
    <w:r>
      <w:fldChar w:fldCharType="separate"/>
    </w:r>
    <w:r>
      <w:rPr>
        <w:lang w:val="zh-CN"/>
      </w:rPr>
      <w:t>33</w:t>
    </w:r>
    <w:r>
      <w:rPr>
        <w:lang w:val="zh-CN"/>
      </w:rPr>
      <w:fldChar w:fldCharType="end"/>
    </w:r>
    <w:r>
      <w:rPr>
        <w:rFonts w:hint="eastAsia"/>
      </w:rPr>
      <w:t xml:space="preserve">                                 山东元通监测有限公司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468173"/>
      <w:docPartObj>
        <w:docPartGallery w:val="autotext"/>
      </w:docPartObj>
    </w:sdtPr>
    <w:sdtContent>
      <w:p>
        <w:pPr>
          <w:pStyle w:val="118"/>
        </w:pPr>
        <w:r>
          <w:fldChar w:fldCharType="begin"/>
        </w:r>
        <w:r>
          <w:instrText xml:space="preserve">PAGE   \* MERGEFORMAT</w:instrText>
        </w:r>
        <w:r>
          <w:fldChar w:fldCharType="separate"/>
        </w:r>
        <w:r>
          <w:rPr>
            <w:lang w:val="zh-CN"/>
          </w:rPr>
          <w:t>36</w:t>
        </w:r>
        <w:r>
          <w:rPr>
            <w:lang w:val="zh-CN"/>
          </w:rPr>
          <w:fldChar w:fldCharType="end"/>
        </w:r>
        <w:r>
          <w:rPr>
            <w:rFonts w:hint="eastAsia"/>
          </w:rPr>
          <w:t xml:space="preserve">                                                               山东元通监测有限公司</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ordWrap w:val="0"/>
      <w:ind w:firstLine="360"/>
      <w:jc w:val="right"/>
    </w:pPr>
    <w:r>
      <w:rPr>
        <w:rFonts w:hint="eastAsia"/>
      </w:rPr>
      <w:t xml:space="preserve">  </w:t>
    </w:r>
    <w:r>
      <w:fldChar w:fldCharType="begin"/>
    </w:r>
    <w:r>
      <w:instrText xml:space="preserve">PAGE   \* MERGEFORMAT</w:instrText>
    </w:r>
    <w:r>
      <w:fldChar w:fldCharType="separate"/>
    </w:r>
    <w:r>
      <w:rPr>
        <w:lang w:val="zh-CN"/>
      </w:rPr>
      <w:t>38</w:t>
    </w:r>
    <w:r>
      <w:rPr>
        <w:lang w:val="zh-CN"/>
      </w:rPr>
      <w:fldChar w:fldCharType="end"/>
    </w:r>
    <w:r>
      <w:rPr>
        <w:rFonts w:hint="eastAsia"/>
      </w:rPr>
      <w:t xml:space="preserve">                                                              山东元通监测有限公司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468174"/>
      <w:docPartObj>
        <w:docPartGallery w:val="autotext"/>
      </w:docPartObj>
    </w:sdtPr>
    <w:sdtContent>
      <w:p>
        <w:pPr>
          <w:pStyle w:val="112"/>
        </w:pPr>
        <w:r>
          <w:fldChar w:fldCharType="begin"/>
        </w:r>
        <w:r>
          <w:instrText xml:space="preserve">PAGE   \* MERGEFORMAT</w:instrText>
        </w:r>
        <w:r>
          <w:fldChar w:fldCharType="separate"/>
        </w:r>
        <w:r>
          <w:rPr>
            <w:lang w:val="zh-CN"/>
          </w:rPr>
          <w:t>41</w:t>
        </w:r>
        <w:r>
          <w:rPr>
            <w:lang w:val="zh-CN"/>
          </w:rPr>
          <w:fldChar w:fldCharType="end"/>
        </w:r>
        <w:r>
          <w:rPr>
            <w:rFonts w:hint="eastAsia"/>
          </w:rPr>
          <w:t xml:space="preserve">                                山东元通监测有限公司</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ordWrap w:val="0"/>
      <w:ind w:firstLine="360"/>
      <w:jc w:val="right"/>
    </w:pPr>
    <w:r>
      <w:rPr>
        <w:rFonts w:hint="eastAsia"/>
      </w:rPr>
      <w:t xml:space="preserve">  </w:t>
    </w:r>
    <w:r>
      <w:fldChar w:fldCharType="begin"/>
    </w:r>
    <w:r>
      <w:instrText xml:space="preserve">PAGE   \* MERGEFORMAT</w:instrText>
    </w:r>
    <w:r>
      <w:fldChar w:fldCharType="separate"/>
    </w:r>
    <w:r>
      <w:rPr>
        <w:lang w:val="zh-CN"/>
      </w:rPr>
      <w:t>44</w:t>
    </w:r>
    <w:r>
      <w:rPr>
        <w:lang w:val="zh-CN"/>
      </w:rPr>
      <w:fldChar w:fldCharType="end"/>
    </w:r>
    <w:r>
      <w:rPr>
        <w:rFonts w:hint="eastAsia"/>
      </w:rPr>
      <w:t xml:space="preserve">                               山东元通监测有限公司</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3"/>
    </w:pPr>
    <w:r>
      <w:fldChar w:fldCharType="begin"/>
    </w:r>
    <w:r>
      <w:instrText xml:space="preserve">PAGE   \* MERGEFORMAT</w:instrText>
    </w:r>
    <w:r>
      <w:fldChar w:fldCharType="separate"/>
    </w:r>
    <w:r>
      <w:rPr>
        <w:lang w:val="zh-CN"/>
      </w:rPr>
      <w:t>42</w:t>
    </w:r>
    <w:r>
      <w:rPr>
        <w:lang w:val="zh-CN"/>
      </w:rPr>
      <w:fldChar w:fldCharType="end"/>
    </w:r>
    <w:r>
      <w:rPr>
        <w:rFonts w:hint="eastAsia"/>
      </w:rPr>
      <w:t xml:space="preserve">                                                                                              山东元通监测有限公司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617884"/>
      <w:docPartObj>
        <w:docPartGallery w:val="autotext"/>
      </w:docPartObj>
    </w:sdtPr>
    <w:sdtContent>
      <w:p>
        <w:pPr>
          <w:pStyle w:val="28"/>
          <w:ind w:firstLine="360"/>
          <w:jc w:val="center"/>
        </w:pPr>
        <w:r>
          <w:fldChar w:fldCharType="begin"/>
        </w:r>
        <w:r>
          <w:instrText xml:space="preserve"> PAGE   \* MERGEFORMAT </w:instrText>
        </w:r>
        <w:r>
          <w:fldChar w:fldCharType="separate"/>
        </w:r>
        <w:r>
          <w:rPr>
            <w:lang w:val="zh-CN"/>
          </w:rPr>
          <w:t>I</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4"/>
    </w:pPr>
    <w:r>
      <w:rPr>
        <w:color w:val="000000"/>
      </w:rPr>
      <w:t>临沂周兴建材有限公司生产加工石膏贴面板、石膏制品和机械加工项目</w:t>
    </w:r>
    <w:r>
      <w:rPr>
        <w:rFonts w:hint="eastAsia"/>
      </w:rPr>
      <w:t>竣工环境保护验收报告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jc w:val="left"/>
      <w:rPr>
        <w:rFonts w:asciiTheme="minorEastAsia" w:hAnsiTheme="minorEastAsia" w:eastAsiaTheme="minorEastAsia"/>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tLeast"/>
      <w:rPr>
        <w:rFonts w:ascii="宋体" w:hAnsi="宋体" w:eastAsia="宋体"/>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4"/>
    </w:pPr>
    <w:r>
      <w:rPr>
        <w:rFonts w:hint="eastAsia"/>
      </w:rPr>
      <w:t>临沂周兴建材有限公司生产加工石膏贴面板、石膏制品和机械加工项目竣工环境保护验收报告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32B11"/>
    <w:multiLevelType w:val="multilevel"/>
    <w:tmpl w:val="62732B11"/>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30"/>
  <w:drawingGridVerticalSpacing w:val="17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52515"/>
    <w:rsid w:val="00000C0E"/>
    <w:rsid w:val="00000C49"/>
    <w:rsid w:val="00000E0F"/>
    <w:rsid w:val="00000F74"/>
    <w:rsid w:val="0000133A"/>
    <w:rsid w:val="00004A7A"/>
    <w:rsid w:val="000056F7"/>
    <w:rsid w:val="00006541"/>
    <w:rsid w:val="00007EA4"/>
    <w:rsid w:val="00010D2E"/>
    <w:rsid w:val="00013C36"/>
    <w:rsid w:val="00015E20"/>
    <w:rsid w:val="00016009"/>
    <w:rsid w:val="0001689A"/>
    <w:rsid w:val="00017F96"/>
    <w:rsid w:val="00021E31"/>
    <w:rsid w:val="000222F0"/>
    <w:rsid w:val="00022683"/>
    <w:rsid w:val="000237BE"/>
    <w:rsid w:val="000240BD"/>
    <w:rsid w:val="00024352"/>
    <w:rsid w:val="00024670"/>
    <w:rsid w:val="00024DA1"/>
    <w:rsid w:val="00026035"/>
    <w:rsid w:val="00026193"/>
    <w:rsid w:val="00026A9E"/>
    <w:rsid w:val="0003139C"/>
    <w:rsid w:val="00031CE7"/>
    <w:rsid w:val="000325D3"/>
    <w:rsid w:val="00034118"/>
    <w:rsid w:val="000347DD"/>
    <w:rsid w:val="000351DC"/>
    <w:rsid w:val="00035D57"/>
    <w:rsid w:val="00037373"/>
    <w:rsid w:val="000377A3"/>
    <w:rsid w:val="00037A8D"/>
    <w:rsid w:val="00040756"/>
    <w:rsid w:val="00041A7A"/>
    <w:rsid w:val="00041F00"/>
    <w:rsid w:val="00041FCE"/>
    <w:rsid w:val="00042A6E"/>
    <w:rsid w:val="0004491F"/>
    <w:rsid w:val="00045A3F"/>
    <w:rsid w:val="00045FD3"/>
    <w:rsid w:val="000462D7"/>
    <w:rsid w:val="00051755"/>
    <w:rsid w:val="000517F7"/>
    <w:rsid w:val="00052D34"/>
    <w:rsid w:val="000542A5"/>
    <w:rsid w:val="00055EA2"/>
    <w:rsid w:val="000574E8"/>
    <w:rsid w:val="00057B15"/>
    <w:rsid w:val="000613B6"/>
    <w:rsid w:val="000623F3"/>
    <w:rsid w:val="00062731"/>
    <w:rsid w:val="00065C09"/>
    <w:rsid w:val="0006651D"/>
    <w:rsid w:val="00066871"/>
    <w:rsid w:val="00066F68"/>
    <w:rsid w:val="00067B13"/>
    <w:rsid w:val="00067F45"/>
    <w:rsid w:val="00070455"/>
    <w:rsid w:val="00071AD5"/>
    <w:rsid w:val="00073F5D"/>
    <w:rsid w:val="00074E83"/>
    <w:rsid w:val="00075288"/>
    <w:rsid w:val="00076CB6"/>
    <w:rsid w:val="00076FFE"/>
    <w:rsid w:val="00077A5E"/>
    <w:rsid w:val="00077CAE"/>
    <w:rsid w:val="00080599"/>
    <w:rsid w:val="00081CEF"/>
    <w:rsid w:val="00082659"/>
    <w:rsid w:val="00082A0E"/>
    <w:rsid w:val="00085A2F"/>
    <w:rsid w:val="00086981"/>
    <w:rsid w:val="00086F39"/>
    <w:rsid w:val="000905AE"/>
    <w:rsid w:val="00093267"/>
    <w:rsid w:val="00095648"/>
    <w:rsid w:val="00096BC3"/>
    <w:rsid w:val="000A007F"/>
    <w:rsid w:val="000A123A"/>
    <w:rsid w:val="000A3865"/>
    <w:rsid w:val="000A3DBA"/>
    <w:rsid w:val="000A75AC"/>
    <w:rsid w:val="000B12AF"/>
    <w:rsid w:val="000B1AB4"/>
    <w:rsid w:val="000B363F"/>
    <w:rsid w:val="000B3BE8"/>
    <w:rsid w:val="000B4C0E"/>
    <w:rsid w:val="000B4C22"/>
    <w:rsid w:val="000B4F00"/>
    <w:rsid w:val="000B50C7"/>
    <w:rsid w:val="000B5E45"/>
    <w:rsid w:val="000B76C0"/>
    <w:rsid w:val="000B795F"/>
    <w:rsid w:val="000C313C"/>
    <w:rsid w:val="000C3F7F"/>
    <w:rsid w:val="000C4A38"/>
    <w:rsid w:val="000C5798"/>
    <w:rsid w:val="000C5962"/>
    <w:rsid w:val="000C646C"/>
    <w:rsid w:val="000C766B"/>
    <w:rsid w:val="000D0184"/>
    <w:rsid w:val="000D166F"/>
    <w:rsid w:val="000D2D38"/>
    <w:rsid w:val="000D5542"/>
    <w:rsid w:val="000D5F18"/>
    <w:rsid w:val="000D6D91"/>
    <w:rsid w:val="000D6E9D"/>
    <w:rsid w:val="000D750B"/>
    <w:rsid w:val="000D7787"/>
    <w:rsid w:val="000D7DAA"/>
    <w:rsid w:val="000E0F97"/>
    <w:rsid w:val="000E13D5"/>
    <w:rsid w:val="000E20BD"/>
    <w:rsid w:val="000E29A6"/>
    <w:rsid w:val="000E3A2D"/>
    <w:rsid w:val="000E4B23"/>
    <w:rsid w:val="000E4CC0"/>
    <w:rsid w:val="000F1BFD"/>
    <w:rsid w:val="000F3041"/>
    <w:rsid w:val="000F31F4"/>
    <w:rsid w:val="000F3869"/>
    <w:rsid w:val="000F424B"/>
    <w:rsid w:val="000F51D1"/>
    <w:rsid w:val="000F5863"/>
    <w:rsid w:val="000F58A5"/>
    <w:rsid w:val="000F5E79"/>
    <w:rsid w:val="000F64FE"/>
    <w:rsid w:val="0010044F"/>
    <w:rsid w:val="00101D9F"/>
    <w:rsid w:val="00102214"/>
    <w:rsid w:val="001042B6"/>
    <w:rsid w:val="00106341"/>
    <w:rsid w:val="001072FA"/>
    <w:rsid w:val="00110462"/>
    <w:rsid w:val="00113BB8"/>
    <w:rsid w:val="001143CC"/>
    <w:rsid w:val="0011491B"/>
    <w:rsid w:val="001159D1"/>
    <w:rsid w:val="0011647B"/>
    <w:rsid w:val="00116EE7"/>
    <w:rsid w:val="001170CA"/>
    <w:rsid w:val="001171AD"/>
    <w:rsid w:val="001174C3"/>
    <w:rsid w:val="00120190"/>
    <w:rsid w:val="00121220"/>
    <w:rsid w:val="001225CE"/>
    <w:rsid w:val="0012597A"/>
    <w:rsid w:val="0012607A"/>
    <w:rsid w:val="0012626F"/>
    <w:rsid w:val="0012705A"/>
    <w:rsid w:val="00127278"/>
    <w:rsid w:val="00127C1B"/>
    <w:rsid w:val="00134BBF"/>
    <w:rsid w:val="001411D3"/>
    <w:rsid w:val="0014436B"/>
    <w:rsid w:val="00144A6B"/>
    <w:rsid w:val="00144FB9"/>
    <w:rsid w:val="00147DA9"/>
    <w:rsid w:val="0015320D"/>
    <w:rsid w:val="00154251"/>
    <w:rsid w:val="001547BC"/>
    <w:rsid w:val="001552B3"/>
    <w:rsid w:val="001566B0"/>
    <w:rsid w:val="00157DBA"/>
    <w:rsid w:val="00160B53"/>
    <w:rsid w:val="0016252D"/>
    <w:rsid w:val="00165144"/>
    <w:rsid w:val="001651F5"/>
    <w:rsid w:val="001710C5"/>
    <w:rsid w:val="00172371"/>
    <w:rsid w:val="00175C9E"/>
    <w:rsid w:val="00180546"/>
    <w:rsid w:val="00180C73"/>
    <w:rsid w:val="00181381"/>
    <w:rsid w:val="00181588"/>
    <w:rsid w:val="00182BD6"/>
    <w:rsid w:val="00185131"/>
    <w:rsid w:val="00185157"/>
    <w:rsid w:val="00192411"/>
    <w:rsid w:val="00192AB8"/>
    <w:rsid w:val="00193FA6"/>
    <w:rsid w:val="00195DE2"/>
    <w:rsid w:val="00196216"/>
    <w:rsid w:val="0019665A"/>
    <w:rsid w:val="0019667D"/>
    <w:rsid w:val="0019733A"/>
    <w:rsid w:val="001A0D9E"/>
    <w:rsid w:val="001A3596"/>
    <w:rsid w:val="001A4093"/>
    <w:rsid w:val="001A4D9C"/>
    <w:rsid w:val="001A5774"/>
    <w:rsid w:val="001A7AD2"/>
    <w:rsid w:val="001B160C"/>
    <w:rsid w:val="001B1B8D"/>
    <w:rsid w:val="001B2764"/>
    <w:rsid w:val="001B33C9"/>
    <w:rsid w:val="001B4EEE"/>
    <w:rsid w:val="001B4FEC"/>
    <w:rsid w:val="001C02C1"/>
    <w:rsid w:val="001C178E"/>
    <w:rsid w:val="001C26F1"/>
    <w:rsid w:val="001C2F0B"/>
    <w:rsid w:val="001C3BF2"/>
    <w:rsid w:val="001C4DE6"/>
    <w:rsid w:val="001C662D"/>
    <w:rsid w:val="001C66BF"/>
    <w:rsid w:val="001C76BD"/>
    <w:rsid w:val="001D03F0"/>
    <w:rsid w:val="001D0A5A"/>
    <w:rsid w:val="001D142A"/>
    <w:rsid w:val="001D2B8D"/>
    <w:rsid w:val="001D4C61"/>
    <w:rsid w:val="001D59B2"/>
    <w:rsid w:val="001D5E06"/>
    <w:rsid w:val="001E015E"/>
    <w:rsid w:val="001E0D2D"/>
    <w:rsid w:val="001E53DB"/>
    <w:rsid w:val="001E677B"/>
    <w:rsid w:val="001E6803"/>
    <w:rsid w:val="001F1CF6"/>
    <w:rsid w:val="001F20BB"/>
    <w:rsid w:val="001F234B"/>
    <w:rsid w:val="001F3F59"/>
    <w:rsid w:val="001F40BB"/>
    <w:rsid w:val="001F54FD"/>
    <w:rsid w:val="001F62B0"/>
    <w:rsid w:val="001F6E37"/>
    <w:rsid w:val="001F74D8"/>
    <w:rsid w:val="001F77C4"/>
    <w:rsid w:val="001F7D7F"/>
    <w:rsid w:val="00200151"/>
    <w:rsid w:val="00200B4B"/>
    <w:rsid w:val="002022B2"/>
    <w:rsid w:val="002050A7"/>
    <w:rsid w:val="002102DA"/>
    <w:rsid w:val="0021205E"/>
    <w:rsid w:val="00212681"/>
    <w:rsid w:val="0021312F"/>
    <w:rsid w:val="002132D4"/>
    <w:rsid w:val="00214540"/>
    <w:rsid w:val="00215CD5"/>
    <w:rsid w:val="00216BED"/>
    <w:rsid w:val="00216DC9"/>
    <w:rsid w:val="002200C4"/>
    <w:rsid w:val="00221929"/>
    <w:rsid w:val="00221DD3"/>
    <w:rsid w:val="002222C3"/>
    <w:rsid w:val="00225521"/>
    <w:rsid w:val="00225988"/>
    <w:rsid w:val="00226B70"/>
    <w:rsid w:val="00226C4B"/>
    <w:rsid w:val="00227678"/>
    <w:rsid w:val="00227774"/>
    <w:rsid w:val="00232402"/>
    <w:rsid w:val="0023265A"/>
    <w:rsid w:val="00232C43"/>
    <w:rsid w:val="00234EE5"/>
    <w:rsid w:val="002360E5"/>
    <w:rsid w:val="00236B38"/>
    <w:rsid w:val="00236BBF"/>
    <w:rsid w:val="00237451"/>
    <w:rsid w:val="00237DC8"/>
    <w:rsid w:val="00240237"/>
    <w:rsid w:val="00241758"/>
    <w:rsid w:val="002449CC"/>
    <w:rsid w:val="00245086"/>
    <w:rsid w:val="00245C96"/>
    <w:rsid w:val="00247CB5"/>
    <w:rsid w:val="00247D74"/>
    <w:rsid w:val="002525AC"/>
    <w:rsid w:val="00253E01"/>
    <w:rsid w:val="00254271"/>
    <w:rsid w:val="0025489F"/>
    <w:rsid w:val="00254BF9"/>
    <w:rsid w:val="00254CF9"/>
    <w:rsid w:val="0025576D"/>
    <w:rsid w:val="00256439"/>
    <w:rsid w:val="00256663"/>
    <w:rsid w:val="00257E1C"/>
    <w:rsid w:val="00260C33"/>
    <w:rsid w:val="0026127F"/>
    <w:rsid w:val="00262063"/>
    <w:rsid w:val="002623EA"/>
    <w:rsid w:val="0026391A"/>
    <w:rsid w:val="00265893"/>
    <w:rsid w:val="00265C28"/>
    <w:rsid w:val="00265E1D"/>
    <w:rsid w:val="00267D95"/>
    <w:rsid w:val="00267DA4"/>
    <w:rsid w:val="002707DF"/>
    <w:rsid w:val="0027225B"/>
    <w:rsid w:val="00273F80"/>
    <w:rsid w:val="002756A2"/>
    <w:rsid w:val="00275D28"/>
    <w:rsid w:val="00276A82"/>
    <w:rsid w:val="00277658"/>
    <w:rsid w:val="00280AA6"/>
    <w:rsid w:val="00281AE2"/>
    <w:rsid w:val="00284322"/>
    <w:rsid w:val="0028562F"/>
    <w:rsid w:val="00285936"/>
    <w:rsid w:val="00286131"/>
    <w:rsid w:val="002869C2"/>
    <w:rsid w:val="00287625"/>
    <w:rsid w:val="002922DC"/>
    <w:rsid w:val="00292EDB"/>
    <w:rsid w:val="00294547"/>
    <w:rsid w:val="00295224"/>
    <w:rsid w:val="00295C3F"/>
    <w:rsid w:val="00296416"/>
    <w:rsid w:val="0029671E"/>
    <w:rsid w:val="002A05CD"/>
    <w:rsid w:val="002A0D57"/>
    <w:rsid w:val="002A1BAC"/>
    <w:rsid w:val="002A3484"/>
    <w:rsid w:val="002A420E"/>
    <w:rsid w:val="002A491E"/>
    <w:rsid w:val="002A5EBE"/>
    <w:rsid w:val="002A6F60"/>
    <w:rsid w:val="002B1F89"/>
    <w:rsid w:val="002B31F1"/>
    <w:rsid w:val="002B34CE"/>
    <w:rsid w:val="002B5192"/>
    <w:rsid w:val="002B60F7"/>
    <w:rsid w:val="002B750B"/>
    <w:rsid w:val="002C0508"/>
    <w:rsid w:val="002C05A9"/>
    <w:rsid w:val="002C07FC"/>
    <w:rsid w:val="002C143A"/>
    <w:rsid w:val="002C3634"/>
    <w:rsid w:val="002C45AD"/>
    <w:rsid w:val="002C478D"/>
    <w:rsid w:val="002C5598"/>
    <w:rsid w:val="002C651A"/>
    <w:rsid w:val="002C79CE"/>
    <w:rsid w:val="002D0A72"/>
    <w:rsid w:val="002D0D9B"/>
    <w:rsid w:val="002D1867"/>
    <w:rsid w:val="002D28A0"/>
    <w:rsid w:val="002D2E9A"/>
    <w:rsid w:val="002D322D"/>
    <w:rsid w:val="002D3F8D"/>
    <w:rsid w:val="002D3FF2"/>
    <w:rsid w:val="002D3FF5"/>
    <w:rsid w:val="002D409B"/>
    <w:rsid w:val="002D475E"/>
    <w:rsid w:val="002D55B7"/>
    <w:rsid w:val="002D63F9"/>
    <w:rsid w:val="002E0105"/>
    <w:rsid w:val="002E05C3"/>
    <w:rsid w:val="002E11EC"/>
    <w:rsid w:val="002E1D5C"/>
    <w:rsid w:val="002E3970"/>
    <w:rsid w:val="002E780B"/>
    <w:rsid w:val="002E7A29"/>
    <w:rsid w:val="002F1337"/>
    <w:rsid w:val="002F16B6"/>
    <w:rsid w:val="002F2C5E"/>
    <w:rsid w:val="002F38C5"/>
    <w:rsid w:val="002F4F46"/>
    <w:rsid w:val="00300897"/>
    <w:rsid w:val="00303764"/>
    <w:rsid w:val="00303D10"/>
    <w:rsid w:val="00304375"/>
    <w:rsid w:val="00306A40"/>
    <w:rsid w:val="00307732"/>
    <w:rsid w:val="0031228E"/>
    <w:rsid w:val="0031267A"/>
    <w:rsid w:val="00313B3B"/>
    <w:rsid w:val="00313BB2"/>
    <w:rsid w:val="0031492B"/>
    <w:rsid w:val="003149BF"/>
    <w:rsid w:val="0031795A"/>
    <w:rsid w:val="00320322"/>
    <w:rsid w:val="0032105C"/>
    <w:rsid w:val="00324068"/>
    <w:rsid w:val="00324119"/>
    <w:rsid w:val="0033295D"/>
    <w:rsid w:val="003363BA"/>
    <w:rsid w:val="00342733"/>
    <w:rsid w:val="00342E06"/>
    <w:rsid w:val="00343E38"/>
    <w:rsid w:val="003448C8"/>
    <w:rsid w:val="00344DB4"/>
    <w:rsid w:val="00344F0F"/>
    <w:rsid w:val="00345344"/>
    <w:rsid w:val="0034570F"/>
    <w:rsid w:val="00346414"/>
    <w:rsid w:val="0034654E"/>
    <w:rsid w:val="003478E3"/>
    <w:rsid w:val="00347D07"/>
    <w:rsid w:val="00347E07"/>
    <w:rsid w:val="003507DD"/>
    <w:rsid w:val="003510DB"/>
    <w:rsid w:val="003519F4"/>
    <w:rsid w:val="00351C31"/>
    <w:rsid w:val="00352865"/>
    <w:rsid w:val="00352D25"/>
    <w:rsid w:val="003538B7"/>
    <w:rsid w:val="00354152"/>
    <w:rsid w:val="00355384"/>
    <w:rsid w:val="0035594D"/>
    <w:rsid w:val="00355D0A"/>
    <w:rsid w:val="00357A55"/>
    <w:rsid w:val="00357E67"/>
    <w:rsid w:val="00361A6A"/>
    <w:rsid w:val="0036340C"/>
    <w:rsid w:val="00364A7F"/>
    <w:rsid w:val="0036512F"/>
    <w:rsid w:val="00365C34"/>
    <w:rsid w:val="00366A34"/>
    <w:rsid w:val="00367315"/>
    <w:rsid w:val="00370D71"/>
    <w:rsid w:val="0037262B"/>
    <w:rsid w:val="00372F95"/>
    <w:rsid w:val="0037480E"/>
    <w:rsid w:val="0037513E"/>
    <w:rsid w:val="00375579"/>
    <w:rsid w:val="00375A70"/>
    <w:rsid w:val="003763AB"/>
    <w:rsid w:val="0038218C"/>
    <w:rsid w:val="0038239E"/>
    <w:rsid w:val="003838E6"/>
    <w:rsid w:val="00383F9C"/>
    <w:rsid w:val="003841D9"/>
    <w:rsid w:val="00385439"/>
    <w:rsid w:val="0038545F"/>
    <w:rsid w:val="00385D53"/>
    <w:rsid w:val="0038670A"/>
    <w:rsid w:val="00387406"/>
    <w:rsid w:val="00387F21"/>
    <w:rsid w:val="00391010"/>
    <w:rsid w:val="0039107A"/>
    <w:rsid w:val="0039155D"/>
    <w:rsid w:val="00392FFE"/>
    <w:rsid w:val="00393483"/>
    <w:rsid w:val="0039403B"/>
    <w:rsid w:val="0039502E"/>
    <w:rsid w:val="00395984"/>
    <w:rsid w:val="003A03FE"/>
    <w:rsid w:val="003A0F42"/>
    <w:rsid w:val="003A20C3"/>
    <w:rsid w:val="003A3B32"/>
    <w:rsid w:val="003A5A05"/>
    <w:rsid w:val="003A6A1F"/>
    <w:rsid w:val="003A7C88"/>
    <w:rsid w:val="003B0871"/>
    <w:rsid w:val="003B0EA6"/>
    <w:rsid w:val="003B152F"/>
    <w:rsid w:val="003B1BD7"/>
    <w:rsid w:val="003B1E10"/>
    <w:rsid w:val="003B30F8"/>
    <w:rsid w:val="003B4869"/>
    <w:rsid w:val="003B67EF"/>
    <w:rsid w:val="003B715A"/>
    <w:rsid w:val="003C09B2"/>
    <w:rsid w:val="003C270E"/>
    <w:rsid w:val="003C4180"/>
    <w:rsid w:val="003D097A"/>
    <w:rsid w:val="003D10CA"/>
    <w:rsid w:val="003D1A8F"/>
    <w:rsid w:val="003D1ACC"/>
    <w:rsid w:val="003D3A74"/>
    <w:rsid w:val="003D4714"/>
    <w:rsid w:val="003D4952"/>
    <w:rsid w:val="003D5214"/>
    <w:rsid w:val="003D6078"/>
    <w:rsid w:val="003D636A"/>
    <w:rsid w:val="003D64D8"/>
    <w:rsid w:val="003D6FFD"/>
    <w:rsid w:val="003D7C51"/>
    <w:rsid w:val="003E37A3"/>
    <w:rsid w:val="003E4A93"/>
    <w:rsid w:val="003E55B9"/>
    <w:rsid w:val="003E7862"/>
    <w:rsid w:val="003E7D9F"/>
    <w:rsid w:val="003F0742"/>
    <w:rsid w:val="003F26B8"/>
    <w:rsid w:val="003F30B3"/>
    <w:rsid w:val="003F3D1E"/>
    <w:rsid w:val="003F3DF5"/>
    <w:rsid w:val="003F4F95"/>
    <w:rsid w:val="003F71B0"/>
    <w:rsid w:val="00401A19"/>
    <w:rsid w:val="0040267A"/>
    <w:rsid w:val="00403436"/>
    <w:rsid w:val="00404951"/>
    <w:rsid w:val="00404CB6"/>
    <w:rsid w:val="00404DD8"/>
    <w:rsid w:val="004137DA"/>
    <w:rsid w:val="004150B9"/>
    <w:rsid w:val="00416384"/>
    <w:rsid w:val="004178D2"/>
    <w:rsid w:val="00420477"/>
    <w:rsid w:val="00420D42"/>
    <w:rsid w:val="00421DAD"/>
    <w:rsid w:val="0042230D"/>
    <w:rsid w:val="00425263"/>
    <w:rsid w:val="0042549B"/>
    <w:rsid w:val="004262B3"/>
    <w:rsid w:val="0043095C"/>
    <w:rsid w:val="00431E0D"/>
    <w:rsid w:val="00431F45"/>
    <w:rsid w:val="00432086"/>
    <w:rsid w:val="00432D03"/>
    <w:rsid w:val="0043302B"/>
    <w:rsid w:val="00440A1C"/>
    <w:rsid w:val="00441341"/>
    <w:rsid w:val="004417B1"/>
    <w:rsid w:val="00442246"/>
    <w:rsid w:val="00443607"/>
    <w:rsid w:val="00444B09"/>
    <w:rsid w:val="0044562A"/>
    <w:rsid w:val="004468A3"/>
    <w:rsid w:val="00450377"/>
    <w:rsid w:val="00452DB9"/>
    <w:rsid w:val="00455461"/>
    <w:rsid w:val="004571DD"/>
    <w:rsid w:val="0045730C"/>
    <w:rsid w:val="0046009C"/>
    <w:rsid w:val="004600C6"/>
    <w:rsid w:val="004607D1"/>
    <w:rsid w:val="00460ACB"/>
    <w:rsid w:val="00461355"/>
    <w:rsid w:val="00463B66"/>
    <w:rsid w:val="004647CA"/>
    <w:rsid w:val="00465238"/>
    <w:rsid w:val="004653AD"/>
    <w:rsid w:val="00471EBC"/>
    <w:rsid w:val="0047334D"/>
    <w:rsid w:val="004738FF"/>
    <w:rsid w:val="004750FD"/>
    <w:rsid w:val="0047578B"/>
    <w:rsid w:val="00476AE7"/>
    <w:rsid w:val="00477A64"/>
    <w:rsid w:val="0048033B"/>
    <w:rsid w:val="00480A4A"/>
    <w:rsid w:val="004822E1"/>
    <w:rsid w:val="00483785"/>
    <w:rsid w:val="00485694"/>
    <w:rsid w:val="004863F0"/>
    <w:rsid w:val="0048709E"/>
    <w:rsid w:val="0048794A"/>
    <w:rsid w:val="00487B03"/>
    <w:rsid w:val="00487B0E"/>
    <w:rsid w:val="004906FA"/>
    <w:rsid w:val="004907C1"/>
    <w:rsid w:val="004921CE"/>
    <w:rsid w:val="00492CAB"/>
    <w:rsid w:val="00494497"/>
    <w:rsid w:val="00494D40"/>
    <w:rsid w:val="00495208"/>
    <w:rsid w:val="00495809"/>
    <w:rsid w:val="00495FAB"/>
    <w:rsid w:val="0049667A"/>
    <w:rsid w:val="00496F6A"/>
    <w:rsid w:val="004A054B"/>
    <w:rsid w:val="004A0692"/>
    <w:rsid w:val="004A155C"/>
    <w:rsid w:val="004A1D6D"/>
    <w:rsid w:val="004A2CDB"/>
    <w:rsid w:val="004A40F7"/>
    <w:rsid w:val="004A5353"/>
    <w:rsid w:val="004A6573"/>
    <w:rsid w:val="004A6BBF"/>
    <w:rsid w:val="004A7939"/>
    <w:rsid w:val="004B09D2"/>
    <w:rsid w:val="004B10D2"/>
    <w:rsid w:val="004B1154"/>
    <w:rsid w:val="004B1941"/>
    <w:rsid w:val="004C0F8A"/>
    <w:rsid w:val="004C181E"/>
    <w:rsid w:val="004C1878"/>
    <w:rsid w:val="004C192F"/>
    <w:rsid w:val="004C1A4B"/>
    <w:rsid w:val="004C1E80"/>
    <w:rsid w:val="004C2779"/>
    <w:rsid w:val="004C369C"/>
    <w:rsid w:val="004C4629"/>
    <w:rsid w:val="004D01CA"/>
    <w:rsid w:val="004D04E4"/>
    <w:rsid w:val="004D28FE"/>
    <w:rsid w:val="004D3113"/>
    <w:rsid w:val="004D4CCD"/>
    <w:rsid w:val="004E5192"/>
    <w:rsid w:val="004F0C09"/>
    <w:rsid w:val="004F0C8E"/>
    <w:rsid w:val="004F5C18"/>
    <w:rsid w:val="004F6A90"/>
    <w:rsid w:val="004F71B0"/>
    <w:rsid w:val="004F766E"/>
    <w:rsid w:val="00501127"/>
    <w:rsid w:val="0050268E"/>
    <w:rsid w:val="00503DBF"/>
    <w:rsid w:val="00506693"/>
    <w:rsid w:val="005110C5"/>
    <w:rsid w:val="00512175"/>
    <w:rsid w:val="005122F4"/>
    <w:rsid w:val="0051335B"/>
    <w:rsid w:val="00513B5E"/>
    <w:rsid w:val="00515299"/>
    <w:rsid w:val="00516BFE"/>
    <w:rsid w:val="00516DCA"/>
    <w:rsid w:val="00517097"/>
    <w:rsid w:val="005202A3"/>
    <w:rsid w:val="005207FC"/>
    <w:rsid w:val="00522455"/>
    <w:rsid w:val="005224E3"/>
    <w:rsid w:val="00522CD2"/>
    <w:rsid w:val="00523CA7"/>
    <w:rsid w:val="0052466D"/>
    <w:rsid w:val="00525365"/>
    <w:rsid w:val="00525B9A"/>
    <w:rsid w:val="0052761F"/>
    <w:rsid w:val="0053063D"/>
    <w:rsid w:val="00534B8C"/>
    <w:rsid w:val="00534F73"/>
    <w:rsid w:val="005358EB"/>
    <w:rsid w:val="00536352"/>
    <w:rsid w:val="00536379"/>
    <w:rsid w:val="0053756B"/>
    <w:rsid w:val="005404F8"/>
    <w:rsid w:val="005406EC"/>
    <w:rsid w:val="00543F24"/>
    <w:rsid w:val="00544738"/>
    <w:rsid w:val="005456DE"/>
    <w:rsid w:val="00551DDA"/>
    <w:rsid w:val="00552297"/>
    <w:rsid w:val="00552515"/>
    <w:rsid w:val="00553646"/>
    <w:rsid w:val="005558E0"/>
    <w:rsid w:val="00557669"/>
    <w:rsid w:val="00557B15"/>
    <w:rsid w:val="0056061A"/>
    <w:rsid w:val="00563CE1"/>
    <w:rsid w:val="00563D6B"/>
    <w:rsid w:val="005655C1"/>
    <w:rsid w:val="005671EE"/>
    <w:rsid w:val="00567F81"/>
    <w:rsid w:val="0057275D"/>
    <w:rsid w:val="00575574"/>
    <w:rsid w:val="005765EE"/>
    <w:rsid w:val="00582174"/>
    <w:rsid w:val="00583749"/>
    <w:rsid w:val="00585463"/>
    <w:rsid w:val="00587706"/>
    <w:rsid w:val="005877E0"/>
    <w:rsid w:val="00587EC6"/>
    <w:rsid w:val="005909A7"/>
    <w:rsid w:val="00590A95"/>
    <w:rsid w:val="005910B4"/>
    <w:rsid w:val="005933DD"/>
    <w:rsid w:val="00593E38"/>
    <w:rsid w:val="00593EA4"/>
    <w:rsid w:val="00595009"/>
    <w:rsid w:val="00595E04"/>
    <w:rsid w:val="00597346"/>
    <w:rsid w:val="005A1A98"/>
    <w:rsid w:val="005A3DDF"/>
    <w:rsid w:val="005A6AD5"/>
    <w:rsid w:val="005A7BB6"/>
    <w:rsid w:val="005A7C41"/>
    <w:rsid w:val="005B5C45"/>
    <w:rsid w:val="005C1ECE"/>
    <w:rsid w:val="005C213F"/>
    <w:rsid w:val="005C2CB7"/>
    <w:rsid w:val="005C37C8"/>
    <w:rsid w:val="005C41D5"/>
    <w:rsid w:val="005C4693"/>
    <w:rsid w:val="005C5316"/>
    <w:rsid w:val="005C7E50"/>
    <w:rsid w:val="005D1FBF"/>
    <w:rsid w:val="005D22F3"/>
    <w:rsid w:val="005D245B"/>
    <w:rsid w:val="005D42CB"/>
    <w:rsid w:val="005D4AD6"/>
    <w:rsid w:val="005D6327"/>
    <w:rsid w:val="005D65BC"/>
    <w:rsid w:val="005D6CA4"/>
    <w:rsid w:val="005D713E"/>
    <w:rsid w:val="005D7491"/>
    <w:rsid w:val="005D7A6D"/>
    <w:rsid w:val="005E0951"/>
    <w:rsid w:val="005E0B79"/>
    <w:rsid w:val="005E19C4"/>
    <w:rsid w:val="005E24CF"/>
    <w:rsid w:val="005E3079"/>
    <w:rsid w:val="005E5E5B"/>
    <w:rsid w:val="005E626C"/>
    <w:rsid w:val="005E661F"/>
    <w:rsid w:val="005E6CF6"/>
    <w:rsid w:val="005F2951"/>
    <w:rsid w:val="005F6B13"/>
    <w:rsid w:val="00601C25"/>
    <w:rsid w:val="00602416"/>
    <w:rsid w:val="00605496"/>
    <w:rsid w:val="0060634B"/>
    <w:rsid w:val="006065C7"/>
    <w:rsid w:val="00607852"/>
    <w:rsid w:val="006105B9"/>
    <w:rsid w:val="006141B6"/>
    <w:rsid w:val="00615003"/>
    <w:rsid w:val="00615A95"/>
    <w:rsid w:val="00617036"/>
    <w:rsid w:val="00621545"/>
    <w:rsid w:val="00621F57"/>
    <w:rsid w:val="0062359A"/>
    <w:rsid w:val="006238D0"/>
    <w:rsid w:val="00623FA2"/>
    <w:rsid w:val="006265F2"/>
    <w:rsid w:val="00634346"/>
    <w:rsid w:val="006344B8"/>
    <w:rsid w:val="00634A93"/>
    <w:rsid w:val="00634F90"/>
    <w:rsid w:val="00635AB6"/>
    <w:rsid w:val="00635E56"/>
    <w:rsid w:val="00635F90"/>
    <w:rsid w:val="00636C3D"/>
    <w:rsid w:val="00637053"/>
    <w:rsid w:val="00640D63"/>
    <w:rsid w:val="00640F18"/>
    <w:rsid w:val="00641503"/>
    <w:rsid w:val="00641CAA"/>
    <w:rsid w:val="006432CD"/>
    <w:rsid w:val="00643952"/>
    <w:rsid w:val="00644B4B"/>
    <w:rsid w:val="00644F13"/>
    <w:rsid w:val="00645B37"/>
    <w:rsid w:val="00646CC1"/>
    <w:rsid w:val="006504B9"/>
    <w:rsid w:val="0065080F"/>
    <w:rsid w:val="00651BB5"/>
    <w:rsid w:val="0065251F"/>
    <w:rsid w:val="00653FBA"/>
    <w:rsid w:val="0065655A"/>
    <w:rsid w:val="00660B8C"/>
    <w:rsid w:val="0066202A"/>
    <w:rsid w:val="00662A2C"/>
    <w:rsid w:val="00663D7D"/>
    <w:rsid w:val="00664678"/>
    <w:rsid w:val="00664874"/>
    <w:rsid w:val="00664B1D"/>
    <w:rsid w:val="00665FDE"/>
    <w:rsid w:val="006664CF"/>
    <w:rsid w:val="00666BF9"/>
    <w:rsid w:val="0066788E"/>
    <w:rsid w:val="00670F3D"/>
    <w:rsid w:val="00670FAC"/>
    <w:rsid w:val="00671CED"/>
    <w:rsid w:val="00671D40"/>
    <w:rsid w:val="00671F7F"/>
    <w:rsid w:val="00673547"/>
    <w:rsid w:val="006739B5"/>
    <w:rsid w:val="0067461E"/>
    <w:rsid w:val="00680C82"/>
    <w:rsid w:val="00681996"/>
    <w:rsid w:val="006840CF"/>
    <w:rsid w:val="006847C3"/>
    <w:rsid w:val="00684A2C"/>
    <w:rsid w:val="00685254"/>
    <w:rsid w:val="00685C1E"/>
    <w:rsid w:val="00685F14"/>
    <w:rsid w:val="006878AF"/>
    <w:rsid w:val="00690363"/>
    <w:rsid w:val="0069042C"/>
    <w:rsid w:val="006904ED"/>
    <w:rsid w:val="00690B3A"/>
    <w:rsid w:val="00693BCC"/>
    <w:rsid w:val="00696575"/>
    <w:rsid w:val="00696A32"/>
    <w:rsid w:val="00696F7D"/>
    <w:rsid w:val="006A0951"/>
    <w:rsid w:val="006A3079"/>
    <w:rsid w:val="006A3A15"/>
    <w:rsid w:val="006A4A92"/>
    <w:rsid w:val="006A4DDE"/>
    <w:rsid w:val="006A5EA3"/>
    <w:rsid w:val="006A7D9F"/>
    <w:rsid w:val="006B0D63"/>
    <w:rsid w:val="006B10E7"/>
    <w:rsid w:val="006B3292"/>
    <w:rsid w:val="006B3E6B"/>
    <w:rsid w:val="006B4F86"/>
    <w:rsid w:val="006B613C"/>
    <w:rsid w:val="006B72C1"/>
    <w:rsid w:val="006C2222"/>
    <w:rsid w:val="006C2538"/>
    <w:rsid w:val="006D08B0"/>
    <w:rsid w:val="006D38BE"/>
    <w:rsid w:val="006D4540"/>
    <w:rsid w:val="006D471C"/>
    <w:rsid w:val="006D4DBA"/>
    <w:rsid w:val="006D4DD4"/>
    <w:rsid w:val="006D5816"/>
    <w:rsid w:val="006D5928"/>
    <w:rsid w:val="006D68F5"/>
    <w:rsid w:val="006D6EAA"/>
    <w:rsid w:val="006D7ED6"/>
    <w:rsid w:val="006E10D9"/>
    <w:rsid w:val="006E1230"/>
    <w:rsid w:val="006E1C2C"/>
    <w:rsid w:val="006E3388"/>
    <w:rsid w:val="006E47D5"/>
    <w:rsid w:val="006E5767"/>
    <w:rsid w:val="006F0E12"/>
    <w:rsid w:val="006F12D7"/>
    <w:rsid w:val="006F1B59"/>
    <w:rsid w:val="006F2972"/>
    <w:rsid w:val="006F3C07"/>
    <w:rsid w:val="006F4634"/>
    <w:rsid w:val="006F5381"/>
    <w:rsid w:val="006F561C"/>
    <w:rsid w:val="006F6333"/>
    <w:rsid w:val="006F63B8"/>
    <w:rsid w:val="006F6ABF"/>
    <w:rsid w:val="006F6F60"/>
    <w:rsid w:val="006F7B02"/>
    <w:rsid w:val="006F7DFF"/>
    <w:rsid w:val="0070044B"/>
    <w:rsid w:val="00701797"/>
    <w:rsid w:val="00703E4B"/>
    <w:rsid w:val="00704C34"/>
    <w:rsid w:val="00705DF5"/>
    <w:rsid w:val="007064C8"/>
    <w:rsid w:val="00706B9A"/>
    <w:rsid w:val="007074DE"/>
    <w:rsid w:val="007076C2"/>
    <w:rsid w:val="00707D25"/>
    <w:rsid w:val="00707E9C"/>
    <w:rsid w:val="00710BC7"/>
    <w:rsid w:val="00711DBF"/>
    <w:rsid w:val="00712295"/>
    <w:rsid w:val="00715196"/>
    <w:rsid w:val="007178D0"/>
    <w:rsid w:val="00720A90"/>
    <w:rsid w:val="00721973"/>
    <w:rsid w:val="00721C0A"/>
    <w:rsid w:val="00722E1C"/>
    <w:rsid w:val="007240D8"/>
    <w:rsid w:val="00724165"/>
    <w:rsid w:val="007258C7"/>
    <w:rsid w:val="00725B73"/>
    <w:rsid w:val="00733665"/>
    <w:rsid w:val="007345C8"/>
    <w:rsid w:val="00734BE9"/>
    <w:rsid w:val="007367F9"/>
    <w:rsid w:val="007370F4"/>
    <w:rsid w:val="007413F9"/>
    <w:rsid w:val="007437B1"/>
    <w:rsid w:val="00743DCE"/>
    <w:rsid w:val="007454EA"/>
    <w:rsid w:val="007476A3"/>
    <w:rsid w:val="00747B27"/>
    <w:rsid w:val="007511C2"/>
    <w:rsid w:val="007522D7"/>
    <w:rsid w:val="00752FCD"/>
    <w:rsid w:val="00755F32"/>
    <w:rsid w:val="0075684E"/>
    <w:rsid w:val="007601C2"/>
    <w:rsid w:val="0076108B"/>
    <w:rsid w:val="00761DAA"/>
    <w:rsid w:val="00763938"/>
    <w:rsid w:val="00764659"/>
    <w:rsid w:val="00764973"/>
    <w:rsid w:val="00765257"/>
    <w:rsid w:val="00765C66"/>
    <w:rsid w:val="00765E7A"/>
    <w:rsid w:val="00765F49"/>
    <w:rsid w:val="00766B28"/>
    <w:rsid w:val="00766DCC"/>
    <w:rsid w:val="00771944"/>
    <w:rsid w:val="00772018"/>
    <w:rsid w:val="00772F8B"/>
    <w:rsid w:val="00773E5F"/>
    <w:rsid w:val="007745CD"/>
    <w:rsid w:val="00774E50"/>
    <w:rsid w:val="00776BDE"/>
    <w:rsid w:val="00777904"/>
    <w:rsid w:val="007779CF"/>
    <w:rsid w:val="00782E79"/>
    <w:rsid w:val="00783392"/>
    <w:rsid w:val="00784957"/>
    <w:rsid w:val="00784E5E"/>
    <w:rsid w:val="007863CC"/>
    <w:rsid w:val="0078767B"/>
    <w:rsid w:val="0079016A"/>
    <w:rsid w:val="0079248C"/>
    <w:rsid w:val="007928DB"/>
    <w:rsid w:val="00794396"/>
    <w:rsid w:val="0079445E"/>
    <w:rsid w:val="007954C1"/>
    <w:rsid w:val="0079674C"/>
    <w:rsid w:val="00796C40"/>
    <w:rsid w:val="007A0CC8"/>
    <w:rsid w:val="007A1108"/>
    <w:rsid w:val="007A2438"/>
    <w:rsid w:val="007A2885"/>
    <w:rsid w:val="007A416F"/>
    <w:rsid w:val="007A5BBB"/>
    <w:rsid w:val="007A5D23"/>
    <w:rsid w:val="007A6357"/>
    <w:rsid w:val="007A7E83"/>
    <w:rsid w:val="007B0023"/>
    <w:rsid w:val="007B0127"/>
    <w:rsid w:val="007B2342"/>
    <w:rsid w:val="007B2579"/>
    <w:rsid w:val="007B3183"/>
    <w:rsid w:val="007B3750"/>
    <w:rsid w:val="007B3953"/>
    <w:rsid w:val="007B4825"/>
    <w:rsid w:val="007B4ED3"/>
    <w:rsid w:val="007B57A8"/>
    <w:rsid w:val="007B5D96"/>
    <w:rsid w:val="007C0FC3"/>
    <w:rsid w:val="007C1110"/>
    <w:rsid w:val="007C1190"/>
    <w:rsid w:val="007C1D8F"/>
    <w:rsid w:val="007C287B"/>
    <w:rsid w:val="007C2B1A"/>
    <w:rsid w:val="007C5D58"/>
    <w:rsid w:val="007C60EA"/>
    <w:rsid w:val="007C7A7D"/>
    <w:rsid w:val="007D005A"/>
    <w:rsid w:val="007D2FE7"/>
    <w:rsid w:val="007D3246"/>
    <w:rsid w:val="007D4802"/>
    <w:rsid w:val="007D5950"/>
    <w:rsid w:val="007D5999"/>
    <w:rsid w:val="007E031A"/>
    <w:rsid w:val="007E0848"/>
    <w:rsid w:val="007E1552"/>
    <w:rsid w:val="007E2D2F"/>
    <w:rsid w:val="007E2F8A"/>
    <w:rsid w:val="007E66A5"/>
    <w:rsid w:val="007F1261"/>
    <w:rsid w:val="007F15B7"/>
    <w:rsid w:val="007F23F5"/>
    <w:rsid w:val="007F38D2"/>
    <w:rsid w:val="007F7376"/>
    <w:rsid w:val="00800141"/>
    <w:rsid w:val="00801274"/>
    <w:rsid w:val="00802376"/>
    <w:rsid w:val="00802911"/>
    <w:rsid w:val="0080303E"/>
    <w:rsid w:val="008035C8"/>
    <w:rsid w:val="008047BE"/>
    <w:rsid w:val="0080486F"/>
    <w:rsid w:val="0080549A"/>
    <w:rsid w:val="00806907"/>
    <w:rsid w:val="00807220"/>
    <w:rsid w:val="008078AA"/>
    <w:rsid w:val="008112C2"/>
    <w:rsid w:val="008133BD"/>
    <w:rsid w:val="008134C6"/>
    <w:rsid w:val="00814945"/>
    <w:rsid w:val="00815121"/>
    <w:rsid w:val="00815C8D"/>
    <w:rsid w:val="0081636D"/>
    <w:rsid w:val="0081655A"/>
    <w:rsid w:val="00816FD8"/>
    <w:rsid w:val="00820C60"/>
    <w:rsid w:val="00820C9A"/>
    <w:rsid w:val="00821C18"/>
    <w:rsid w:val="00822295"/>
    <w:rsid w:val="00822830"/>
    <w:rsid w:val="008232F5"/>
    <w:rsid w:val="00823AB7"/>
    <w:rsid w:val="00823BE3"/>
    <w:rsid w:val="00825233"/>
    <w:rsid w:val="008259D0"/>
    <w:rsid w:val="00826A1C"/>
    <w:rsid w:val="00827016"/>
    <w:rsid w:val="008270EE"/>
    <w:rsid w:val="008304E3"/>
    <w:rsid w:val="0083257F"/>
    <w:rsid w:val="008337A7"/>
    <w:rsid w:val="00833AC9"/>
    <w:rsid w:val="00834EA7"/>
    <w:rsid w:val="0084061B"/>
    <w:rsid w:val="00840953"/>
    <w:rsid w:val="008411DF"/>
    <w:rsid w:val="00841698"/>
    <w:rsid w:val="00842757"/>
    <w:rsid w:val="00843730"/>
    <w:rsid w:val="00843B5E"/>
    <w:rsid w:val="00850CE4"/>
    <w:rsid w:val="008514E4"/>
    <w:rsid w:val="00851D6B"/>
    <w:rsid w:val="00852BFC"/>
    <w:rsid w:val="00853116"/>
    <w:rsid w:val="0085401B"/>
    <w:rsid w:val="00854A8A"/>
    <w:rsid w:val="008558BF"/>
    <w:rsid w:val="00857404"/>
    <w:rsid w:val="00860364"/>
    <w:rsid w:val="00860B4D"/>
    <w:rsid w:val="00863284"/>
    <w:rsid w:val="00863AB0"/>
    <w:rsid w:val="0086412E"/>
    <w:rsid w:val="008643EF"/>
    <w:rsid w:val="00865F4C"/>
    <w:rsid w:val="008663F6"/>
    <w:rsid w:val="00870E9F"/>
    <w:rsid w:val="008737D9"/>
    <w:rsid w:val="00874B08"/>
    <w:rsid w:val="00874DF4"/>
    <w:rsid w:val="00875058"/>
    <w:rsid w:val="008750EB"/>
    <w:rsid w:val="00875A6B"/>
    <w:rsid w:val="00876338"/>
    <w:rsid w:val="00876CD1"/>
    <w:rsid w:val="00877205"/>
    <w:rsid w:val="008801B3"/>
    <w:rsid w:val="008814CF"/>
    <w:rsid w:val="00881660"/>
    <w:rsid w:val="00881907"/>
    <w:rsid w:val="00884B1E"/>
    <w:rsid w:val="008850C6"/>
    <w:rsid w:val="00890B8B"/>
    <w:rsid w:val="0089136C"/>
    <w:rsid w:val="00891A3F"/>
    <w:rsid w:val="00892CC3"/>
    <w:rsid w:val="00892F75"/>
    <w:rsid w:val="0089387B"/>
    <w:rsid w:val="0089442E"/>
    <w:rsid w:val="008954C7"/>
    <w:rsid w:val="008979DE"/>
    <w:rsid w:val="008A07EE"/>
    <w:rsid w:val="008A0950"/>
    <w:rsid w:val="008A0E30"/>
    <w:rsid w:val="008A18A3"/>
    <w:rsid w:val="008A2CBC"/>
    <w:rsid w:val="008A36E2"/>
    <w:rsid w:val="008A4CCB"/>
    <w:rsid w:val="008B0242"/>
    <w:rsid w:val="008B0E47"/>
    <w:rsid w:val="008B131D"/>
    <w:rsid w:val="008B1CF4"/>
    <w:rsid w:val="008B26F6"/>
    <w:rsid w:val="008B2802"/>
    <w:rsid w:val="008B365F"/>
    <w:rsid w:val="008B5539"/>
    <w:rsid w:val="008B64A5"/>
    <w:rsid w:val="008B6FC7"/>
    <w:rsid w:val="008B79BE"/>
    <w:rsid w:val="008B7A7F"/>
    <w:rsid w:val="008B7FF8"/>
    <w:rsid w:val="008C481E"/>
    <w:rsid w:val="008C73FD"/>
    <w:rsid w:val="008C7BCD"/>
    <w:rsid w:val="008C7C65"/>
    <w:rsid w:val="008D1266"/>
    <w:rsid w:val="008D1775"/>
    <w:rsid w:val="008D6AA5"/>
    <w:rsid w:val="008D6C87"/>
    <w:rsid w:val="008D6D33"/>
    <w:rsid w:val="008D72C2"/>
    <w:rsid w:val="008E0687"/>
    <w:rsid w:val="008E0B57"/>
    <w:rsid w:val="008E264E"/>
    <w:rsid w:val="008E3B9F"/>
    <w:rsid w:val="008E455D"/>
    <w:rsid w:val="008E76A9"/>
    <w:rsid w:val="008F0A06"/>
    <w:rsid w:val="008F1E31"/>
    <w:rsid w:val="008F2E81"/>
    <w:rsid w:val="008F41F9"/>
    <w:rsid w:val="008F43EC"/>
    <w:rsid w:val="008F4AD8"/>
    <w:rsid w:val="008F5B42"/>
    <w:rsid w:val="009000E7"/>
    <w:rsid w:val="00900A15"/>
    <w:rsid w:val="0090142E"/>
    <w:rsid w:val="00902138"/>
    <w:rsid w:val="00903E3F"/>
    <w:rsid w:val="00904A5A"/>
    <w:rsid w:val="009061BD"/>
    <w:rsid w:val="009066A3"/>
    <w:rsid w:val="00906D39"/>
    <w:rsid w:val="009119A5"/>
    <w:rsid w:val="009154B1"/>
    <w:rsid w:val="00915EB6"/>
    <w:rsid w:val="00916B6B"/>
    <w:rsid w:val="00917ED4"/>
    <w:rsid w:val="009221D7"/>
    <w:rsid w:val="00922371"/>
    <w:rsid w:val="009233A5"/>
    <w:rsid w:val="00923742"/>
    <w:rsid w:val="0092457B"/>
    <w:rsid w:val="009255E0"/>
    <w:rsid w:val="00925F7C"/>
    <w:rsid w:val="009262B5"/>
    <w:rsid w:val="009273AC"/>
    <w:rsid w:val="0093324B"/>
    <w:rsid w:val="009348BC"/>
    <w:rsid w:val="00934BA5"/>
    <w:rsid w:val="009359F8"/>
    <w:rsid w:val="00935E10"/>
    <w:rsid w:val="00937FC1"/>
    <w:rsid w:val="009427D1"/>
    <w:rsid w:val="00942E43"/>
    <w:rsid w:val="009432BE"/>
    <w:rsid w:val="009519FA"/>
    <w:rsid w:val="00951F7E"/>
    <w:rsid w:val="00952203"/>
    <w:rsid w:val="0095252A"/>
    <w:rsid w:val="00952BE7"/>
    <w:rsid w:val="0095342D"/>
    <w:rsid w:val="00953AAA"/>
    <w:rsid w:val="00960DED"/>
    <w:rsid w:val="00961BEF"/>
    <w:rsid w:val="00961D96"/>
    <w:rsid w:val="00961E0B"/>
    <w:rsid w:val="0096294F"/>
    <w:rsid w:val="00962DBA"/>
    <w:rsid w:val="009636A3"/>
    <w:rsid w:val="00966E1E"/>
    <w:rsid w:val="00970195"/>
    <w:rsid w:val="0097019D"/>
    <w:rsid w:val="0097097D"/>
    <w:rsid w:val="00970F2D"/>
    <w:rsid w:val="00972492"/>
    <w:rsid w:val="009728B3"/>
    <w:rsid w:val="00975550"/>
    <w:rsid w:val="00975DDC"/>
    <w:rsid w:val="009779C0"/>
    <w:rsid w:val="00980984"/>
    <w:rsid w:val="0098147A"/>
    <w:rsid w:val="009826FD"/>
    <w:rsid w:val="009842A6"/>
    <w:rsid w:val="00984569"/>
    <w:rsid w:val="00984F6D"/>
    <w:rsid w:val="00985CB1"/>
    <w:rsid w:val="00985E61"/>
    <w:rsid w:val="00986741"/>
    <w:rsid w:val="00987D36"/>
    <w:rsid w:val="0099265B"/>
    <w:rsid w:val="00992F21"/>
    <w:rsid w:val="00994EFA"/>
    <w:rsid w:val="00995EF7"/>
    <w:rsid w:val="009962CB"/>
    <w:rsid w:val="009A5672"/>
    <w:rsid w:val="009A5904"/>
    <w:rsid w:val="009A6E80"/>
    <w:rsid w:val="009A76A5"/>
    <w:rsid w:val="009B1A32"/>
    <w:rsid w:val="009B20BC"/>
    <w:rsid w:val="009B7501"/>
    <w:rsid w:val="009B7667"/>
    <w:rsid w:val="009C0A2E"/>
    <w:rsid w:val="009C0DF2"/>
    <w:rsid w:val="009C1E1A"/>
    <w:rsid w:val="009C20DA"/>
    <w:rsid w:val="009C3295"/>
    <w:rsid w:val="009C4718"/>
    <w:rsid w:val="009C5186"/>
    <w:rsid w:val="009C5B93"/>
    <w:rsid w:val="009C6880"/>
    <w:rsid w:val="009C701B"/>
    <w:rsid w:val="009D0ADD"/>
    <w:rsid w:val="009D2B75"/>
    <w:rsid w:val="009D35EE"/>
    <w:rsid w:val="009D6CC7"/>
    <w:rsid w:val="009E0041"/>
    <w:rsid w:val="009E2D65"/>
    <w:rsid w:val="009E4028"/>
    <w:rsid w:val="009E5CF5"/>
    <w:rsid w:val="009E61B3"/>
    <w:rsid w:val="009E649C"/>
    <w:rsid w:val="009E760B"/>
    <w:rsid w:val="009F0667"/>
    <w:rsid w:val="009F1D42"/>
    <w:rsid w:val="009F2D89"/>
    <w:rsid w:val="009F39FF"/>
    <w:rsid w:val="009F5398"/>
    <w:rsid w:val="009F5B6A"/>
    <w:rsid w:val="009F5BCF"/>
    <w:rsid w:val="009F5F67"/>
    <w:rsid w:val="009F5FEC"/>
    <w:rsid w:val="009F63F6"/>
    <w:rsid w:val="009F79AE"/>
    <w:rsid w:val="00A009DB"/>
    <w:rsid w:val="00A0137B"/>
    <w:rsid w:val="00A01769"/>
    <w:rsid w:val="00A068EC"/>
    <w:rsid w:val="00A06A3C"/>
    <w:rsid w:val="00A06C0A"/>
    <w:rsid w:val="00A11CA8"/>
    <w:rsid w:val="00A12179"/>
    <w:rsid w:val="00A127EB"/>
    <w:rsid w:val="00A12D68"/>
    <w:rsid w:val="00A13B33"/>
    <w:rsid w:val="00A14F9E"/>
    <w:rsid w:val="00A177AE"/>
    <w:rsid w:val="00A17D50"/>
    <w:rsid w:val="00A207D9"/>
    <w:rsid w:val="00A20B0B"/>
    <w:rsid w:val="00A21619"/>
    <w:rsid w:val="00A22239"/>
    <w:rsid w:val="00A23B9C"/>
    <w:rsid w:val="00A24A86"/>
    <w:rsid w:val="00A254B1"/>
    <w:rsid w:val="00A300CB"/>
    <w:rsid w:val="00A3046B"/>
    <w:rsid w:val="00A315F7"/>
    <w:rsid w:val="00A3326D"/>
    <w:rsid w:val="00A35F60"/>
    <w:rsid w:val="00A37AB2"/>
    <w:rsid w:val="00A4283E"/>
    <w:rsid w:val="00A43B1F"/>
    <w:rsid w:val="00A4454D"/>
    <w:rsid w:val="00A4476F"/>
    <w:rsid w:val="00A44B0F"/>
    <w:rsid w:val="00A4555E"/>
    <w:rsid w:val="00A45F53"/>
    <w:rsid w:val="00A47467"/>
    <w:rsid w:val="00A50346"/>
    <w:rsid w:val="00A521E1"/>
    <w:rsid w:val="00A52828"/>
    <w:rsid w:val="00A54A24"/>
    <w:rsid w:val="00A552C6"/>
    <w:rsid w:val="00A56897"/>
    <w:rsid w:val="00A56B37"/>
    <w:rsid w:val="00A57087"/>
    <w:rsid w:val="00A57A61"/>
    <w:rsid w:val="00A6039F"/>
    <w:rsid w:val="00A642E8"/>
    <w:rsid w:val="00A65D35"/>
    <w:rsid w:val="00A66E05"/>
    <w:rsid w:val="00A675B8"/>
    <w:rsid w:val="00A67F82"/>
    <w:rsid w:val="00A7304D"/>
    <w:rsid w:val="00A7374D"/>
    <w:rsid w:val="00A75C7C"/>
    <w:rsid w:val="00A76765"/>
    <w:rsid w:val="00A779DD"/>
    <w:rsid w:val="00A81E93"/>
    <w:rsid w:val="00A83348"/>
    <w:rsid w:val="00A83AAF"/>
    <w:rsid w:val="00A849F3"/>
    <w:rsid w:val="00A85793"/>
    <w:rsid w:val="00A86CD3"/>
    <w:rsid w:val="00A927DA"/>
    <w:rsid w:val="00A931BB"/>
    <w:rsid w:val="00A941E3"/>
    <w:rsid w:val="00A94923"/>
    <w:rsid w:val="00A96E92"/>
    <w:rsid w:val="00A97520"/>
    <w:rsid w:val="00A979B2"/>
    <w:rsid w:val="00AA02E9"/>
    <w:rsid w:val="00AA33F3"/>
    <w:rsid w:val="00AB1A80"/>
    <w:rsid w:val="00AB2699"/>
    <w:rsid w:val="00AB31A1"/>
    <w:rsid w:val="00AB38BE"/>
    <w:rsid w:val="00AB3B73"/>
    <w:rsid w:val="00AB3ECD"/>
    <w:rsid w:val="00AB4823"/>
    <w:rsid w:val="00AB57F7"/>
    <w:rsid w:val="00AB601E"/>
    <w:rsid w:val="00AB68F7"/>
    <w:rsid w:val="00AB7BF5"/>
    <w:rsid w:val="00AC05EF"/>
    <w:rsid w:val="00AC1D88"/>
    <w:rsid w:val="00AC1F1C"/>
    <w:rsid w:val="00AC270F"/>
    <w:rsid w:val="00AC31B4"/>
    <w:rsid w:val="00AC494B"/>
    <w:rsid w:val="00AC49AC"/>
    <w:rsid w:val="00AC5A32"/>
    <w:rsid w:val="00AC6192"/>
    <w:rsid w:val="00AC6E6C"/>
    <w:rsid w:val="00AC6F43"/>
    <w:rsid w:val="00AD1CCE"/>
    <w:rsid w:val="00AD3687"/>
    <w:rsid w:val="00AD3A76"/>
    <w:rsid w:val="00AD468F"/>
    <w:rsid w:val="00AD6069"/>
    <w:rsid w:val="00AD7E98"/>
    <w:rsid w:val="00AE02B2"/>
    <w:rsid w:val="00AE1577"/>
    <w:rsid w:val="00AE1F8C"/>
    <w:rsid w:val="00AE2643"/>
    <w:rsid w:val="00AE3329"/>
    <w:rsid w:val="00AE41BA"/>
    <w:rsid w:val="00AE5E0F"/>
    <w:rsid w:val="00AF0C24"/>
    <w:rsid w:val="00AF0DF7"/>
    <w:rsid w:val="00AF1FDE"/>
    <w:rsid w:val="00AF46BD"/>
    <w:rsid w:val="00AF4918"/>
    <w:rsid w:val="00AF4FF7"/>
    <w:rsid w:val="00AF5D7E"/>
    <w:rsid w:val="00AF605D"/>
    <w:rsid w:val="00AF68DD"/>
    <w:rsid w:val="00AF6938"/>
    <w:rsid w:val="00AF69F9"/>
    <w:rsid w:val="00AF755B"/>
    <w:rsid w:val="00AF7770"/>
    <w:rsid w:val="00B005D2"/>
    <w:rsid w:val="00B02E01"/>
    <w:rsid w:val="00B038E6"/>
    <w:rsid w:val="00B06052"/>
    <w:rsid w:val="00B0688C"/>
    <w:rsid w:val="00B10BFB"/>
    <w:rsid w:val="00B10D57"/>
    <w:rsid w:val="00B12BE7"/>
    <w:rsid w:val="00B13BE1"/>
    <w:rsid w:val="00B15943"/>
    <w:rsid w:val="00B21E26"/>
    <w:rsid w:val="00B21EF6"/>
    <w:rsid w:val="00B222AB"/>
    <w:rsid w:val="00B247D6"/>
    <w:rsid w:val="00B24ECD"/>
    <w:rsid w:val="00B254E7"/>
    <w:rsid w:val="00B26549"/>
    <w:rsid w:val="00B30205"/>
    <w:rsid w:val="00B30B1C"/>
    <w:rsid w:val="00B3143F"/>
    <w:rsid w:val="00B32973"/>
    <w:rsid w:val="00B33011"/>
    <w:rsid w:val="00B334A7"/>
    <w:rsid w:val="00B34756"/>
    <w:rsid w:val="00B35D14"/>
    <w:rsid w:val="00B36C47"/>
    <w:rsid w:val="00B36DBC"/>
    <w:rsid w:val="00B36ECB"/>
    <w:rsid w:val="00B372F0"/>
    <w:rsid w:val="00B40BD9"/>
    <w:rsid w:val="00B43738"/>
    <w:rsid w:val="00B5052A"/>
    <w:rsid w:val="00B50967"/>
    <w:rsid w:val="00B51763"/>
    <w:rsid w:val="00B52E61"/>
    <w:rsid w:val="00B55673"/>
    <w:rsid w:val="00B560C3"/>
    <w:rsid w:val="00B6247B"/>
    <w:rsid w:val="00B6370D"/>
    <w:rsid w:val="00B63DC5"/>
    <w:rsid w:val="00B66D1C"/>
    <w:rsid w:val="00B66F14"/>
    <w:rsid w:val="00B70910"/>
    <w:rsid w:val="00B70AD8"/>
    <w:rsid w:val="00B70BB4"/>
    <w:rsid w:val="00B71E02"/>
    <w:rsid w:val="00B720D5"/>
    <w:rsid w:val="00B726F0"/>
    <w:rsid w:val="00B74E3E"/>
    <w:rsid w:val="00B7725A"/>
    <w:rsid w:val="00B77FA7"/>
    <w:rsid w:val="00B80309"/>
    <w:rsid w:val="00B8054C"/>
    <w:rsid w:val="00B81251"/>
    <w:rsid w:val="00B82F38"/>
    <w:rsid w:val="00B83AC0"/>
    <w:rsid w:val="00B84305"/>
    <w:rsid w:val="00B85DFE"/>
    <w:rsid w:val="00B8683A"/>
    <w:rsid w:val="00B90369"/>
    <w:rsid w:val="00B91379"/>
    <w:rsid w:val="00B925AB"/>
    <w:rsid w:val="00B94447"/>
    <w:rsid w:val="00B9647C"/>
    <w:rsid w:val="00B969A4"/>
    <w:rsid w:val="00B96B5D"/>
    <w:rsid w:val="00B96BFF"/>
    <w:rsid w:val="00B972F8"/>
    <w:rsid w:val="00B97697"/>
    <w:rsid w:val="00B97AE5"/>
    <w:rsid w:val="00B97EFD"/>
    <w:rsid w:val="00BA15C4"/>
    <w:rsid w:val="00BA1F9F"/>
    <w:rsid w:val="00BA2965"/>
    <w:rsid w:val="00BA4238"/>
    <w:rsid w:val="00BA484D"/>
    <w:rsid w:val="00BA5359"/>
    <w:rsid w:val="00BB0AAB"/>
    <w:rsid w:val="00BB110C"/>
    <w:rsid w:val="00BB27D9"/>
    <w:rsid w:val="00BB29A3"/>
    <w:rsid w:val="00BB40E9"/>
    <w:rsid w:val="00BB586A"/>
    <w:rsid w:val="00BB655F"/>
    <w:rsid w:val="00BC041F"/>
    <w:rsid w:val="00BC0928"/>
    <w:rsid w:val="00BC3C47"/>
    <w:rsid w:val="00BC4501"/>
    <w:rsid w:val="00BC51DB"/>
    <w:rsid w:val="00BC7E6F"/>
    <w:rsid w:val="00BD1764"/>
    <w:rsid w:val="00BD2D32"/>
    <w:rsid w:val="00BD6FC1"/>
    <w:rsid w:val="00BD7716"/>
    <w:rsid w:val="00BE0A7C"/>
    <w:rsid w:val="00BE0D54"/>
    <w:rsid w:val="00BE206A"/>
    <w:rsid w:val="00BE2DCF"/>
    <w:rsid w:val="00BE3831"/>
    <w:rsid w:val="00BE4C86"/>
    <w:rsid w:val="00BE50FE"/>
    <w:rsid w:val="00BE7258"/>
    <w:rsid w:val="00BF0A82"/>
    <w:rsid w:val="00BF11C9"/>
    <w:rsid w:val="00BF1421"/>
    <w:rsid w:val="00BF147D"/>
    <w:rsid w:val="00BF1EDD"/>
    <w:rsid w:val="00BF2259"/>
    <w:rsid w:val="00BF2B96"/>
    <w:rsid w:val="00BF43B3"/>
    <w:rsid w:val="00BF5254"/>
    <w:rsid w:val="00BF5A03"/>
    <w:rsid w:val="00BF6412"/>
    <w:rsid w:val="00BF65E4"/>
    <w:rsid w:val="00BF677E"/>
    <w:rsid w:val="00BF6B0D"/>
    <w:rsid w:val="00BF70C7"/>
    <w:rsid w:val="00C0038A"/>
    <w:rsid w:val="00C00E23"/>
    <w:rsid w:val="00C01BA9"/>
    <w:rsid w:val="00C03374"/>
    <w:rsid w:val="00C03750"/>
    <w:rsid w:val="00C0792E"/>
    <w:rsid w:val="00C100B3"/>
    <w:rsid w:val="00C103DA"/>
    <w:rsid w:val="00C10DBC"/>
    <w:rsid w:val="00C11927"/>
    <w:rsid w:val="00C16091"/>
    <w:rsid w:val="00C16410"/>
    <w:rsid w:val="00C202B7"/>
    <w:rsid w:val="00C2140E"/>
    <w:rsid w:val="00C24BF2"/>
    <w:rsid w:val="00C2662B"/>
    <w:rsid w:val="00C2782C"/>
    <w:rsid w:val="00C30D70"/>
    <w:rsid w:val="00C315FC"/>
    <w:rsid w:val="00C32D86"/>
    <w:rsid w:val="00C34B05"/>
    <w:rsid w:val="00C35AFF"/>
    <w:rsid w:val="00C360A2"/>
    <w:rsid w:val="00C3711A"/>
    <w:rsid w:val="00C3712C"/>
    <w:rsid w:val="00C42F16"/>
    <w:rsid w:val="00C43A32"/>
    <w:rsid w:val="00C47BA8"/>
    <w:rsid w:val="00C47FDA"/>
    <w:rsid w:val="00C50C6B"/>
    <w:rsid w:val="00C51D91"/>
    <w:rsid w:val="00C52841"/>
    <w:rsid w:val="00C52A37"/>
    <w:rsid w:val="00C52DBB"/>
    <w:rsid w:val="00C5438F"/>
    <w:rsid w:val="00C55926"/>
    <w:rsid w:val="00C5634D"/>
    <w:rsid w:val="00C56951"/>
    <w:rsid w:val="00C5699A"/>
    <w:rsid w:val="00C57154"/>
    <w:rsid w:val="00C57924"/>
    <w:rsid w:val="00C6003C"/>
    <w:rsid w:val="00C61581"/>
    <w:rsid w:val="00C61A9B"/>
    <w:rsid w:val="00C6338C"/>
    <w:rsid w:val="00C64C02"/>
    <w:rsid w:val="00C66F02"/>
    <w:rsid w:val="00C67507"/>
    <w:rsid w:val="00C67A62"/>
    <w:rsid w:val="00C7164B"/>
    <w:rsid w:val="00C72269"/>
    <w:rsid w:val="00C740CD"/>
    <w:rsid w:val="00C7470D"/>
    <w:rsid w:val="00C75734"/>
    <w:rsid w:val="00C763BD"/>
    <w:rsid w:val="00C77412"/>
    <w:rsid w:val="00C80BA0"/>
    <w:rsid w:val="00C84E78"/>
    <w:rsid w:val="00C850EB"/>
    <w:rsid w:val="00C86063"/>
    <w:rsid w:val="00C9149D"/>
    <w:rsid w:val="00C91720"/>
    <w:rsid w:val="00C92416"/>
    <w:rsid w:val="00C92BCF"/>
    <w:rsid w:val="00C9572A"/>
    <w:rsid w:val="00C95E7E"/>
    <w:rsid w:val="00C97110"/>
    <w:rsid w:val="00C97B02"/>
    <w:rsid w:val="00CA38A7"/>
    <w:rsid w:val="00CA44E4"/>
    <w:rsid w:val="00CA6371"/>
    <w:rsid w:val="00CA63A0"/>
    <w:rsid w:val="00CA6CFF"/>
    <w:rsid w:val="00CA7D67"/>
    <w:rsid w:val="00CB04CD"/>
    <w:rsid w:val="00CB268B"/>
    <w:rsid w:val="00CB37D5"/>
    <w:rsid w:val="00CB47E6"/>
    <w:rsid w:val="00CB72DA"/>
    <w:rsid w:val="00CC08BE"/>
    <w:rsid w:val="00CC2C9F"/>
    <w:rsid w:val="00CC322F"/>
    <w:rsid w:val="00CC3246"/>
    <w:rsid w:val="00CC3BCD"/>
    <w:rsid w:val="00CC4401"/>
    <w:rsid w:val="00CC47A4"/>
    <w:rsid w:val="00CC5184"/>
    <w:rsid w:val="00CC68CD"/>
    <w:rsid w:val="00CD0044"/>
    <w:rsid w:val="00CD0B16"/>
    <w:rsid w:val="00CD10AE"/>
    <w:rsid w:val="00CD3EAF"/>
    <w:rsid w:val="00CD4D86"/>
    <w:rsid w:val="00CD5A32"/>
    <w:rsid w:val="00CD74D5"/>
    <w:rsid w:val="00CE03DB"/>
    <w:rsid w:val="00CE096E"/>
    <w:rsid w:val="00CE1E7E"/>
    <w:rsid w:val="00CE3AEE"/>
    <w:rsid w:val="00CE41FC"/>
    <w:rsid w:val="00CF06E2"/>
    <w:rsid w:val="00CF13ED"/>
    <w:rsid w:val="00CF1523"/>
    <w:rsid w:val="00CF1595"/>
    <w:rsid w:val="00CF2657"/>
    <w:rsid w:val="00CF6506"/>
    <w:rsid w:val="00CF7991"/>
    <w:rsid w:val="00D00DC7"/>
    <w:rsid w:val="00D01377"/>
    <w:rsid w:val="00D0184E"/>
    <w:rsid w:val="00D0333F"/>
    <w:rsid w:val="00D03929"/>
    <w:rsid w:val="00D0438E"/>
    <w:rsid w:val="00D04A1B"/>
    <w:rsid w:val="00D051EC"/>
    <w:rsid w:val="00D05E1C"/>
    <w:rsid w:val="00D06670"/>
    <w:rsid w:val="00D06794"/>
    <w:rsid w:val="00D07370"/>
    <w:rsid w:val="00D11234"/>
    <w:rsid w:val="00D11F34"/>
    <w:rsid w:val="00D13082"/>
    <w:rsid w:val="00D13FE8"/>
    <w:rsid w:val="00D14279"/>
    <w:rsid w:val="00D14569"/>
    <w:rsid w:val="00D156E9"/>
    <w:rsid w:val="00D16206"/>
    <w:rsid w:val="00D1752B"/>
    <w:rsid w:val="00D22143"/>
    <w:rsid w:val="00D22BA7"/>
    <w:rsid w:val="00D25A9B"/>
    <w:rsid w:val="00D30A6B"/>
    <w:rsid w:val="00D325AF"/>
    <w:rsid w:val="00D326EE"/>
    <w:rsid w:val="00D32751"/>
    <w:rsid w:val="00D32E80"/>
    <w:rsid w:val="00D34BBF"/>
    <w:rsid w:val="00D3509D"/>
    <w:rsid w:val="00D362D7"/>
    <w:rsid w:val="00D36C82"/>
    <w:rsid w:val="00D408D8"/>
    <w:rsid w:val="00D4095D"/>
    <w:rsid w:val="00D4247E"/>
    <w:rsid w:val="00D43114"/>
    <w:rsid w:val="00D467C1"/>
    <w:rsid w:val="00D46AE7"/>
    <w:rsid w:val="00D46B2A"/>
    <w:rsid w:val="00D5019A"/>
    <w:rsid w:val="00D50EA3"/>
    <w:rsid w:val="00D50ED7"/>
    <w:rsid w:val="00D5149D"/>
    <w:rsid w:val="00D5284A"/>
    <w:rsid w:val="00D54182"/>
    <w:rsid w:val="00D5428E"/>
    <w:rsid w:val="00D54514"/>
    <w:rsid w:val="00D54E45"/>
    <w:rsid w:val="00D60EE6"/>
    <w:rsid w:val="00D61AC5"/>
    <w:rsid w:val="00D61BA5"/>
    <w:rsid w:val="00D62AB3"/>
    <w:rsid w:val="00D66CC0"/>
    <w:rsid w:val="00D70148"/>
    <w:rsid w:val="00D70F03"/>
    <w:rsid w:val="00D722DC"/>
    <w:rsid w:val="00D72449"/>
    <w:rsid w:val="00D73267"/>
    <w:rsid w:val="00D736E8"/>
    <w:rsid w:val="00D747F3"/>
    <w:rsid w:val="00D74F63"/>
    <w:rsid w:val="00D759F8"/>
    <w:rsid w:val="00D778F9"/>
    <w:rsid w:val="00D77E4D"/>
    <w:rsid w:val="00D801D5"/>
    <w:rsid w:val="00D80776"/>
    <w:rsid w:val="00D81109"/>
    <w:rsid w:val="00D81BE4"/>
    <w:rsid w:val="00D82FFA"/>
    <w:rsid w:val="00D8357E"/>
    <w:rsid w:val="00D85F0D"/>
    <w:rsid w:val="00D87C15"/>
    <w:rsid w:val="00D907AD"/>
    <w:rsid w:val="00D9114B"/>
    <w:rsid w:val="00D9133F"/>
    <w:rsid w:val="00D93B8A"/>
    <w:rsid w:val="00D97A6D"/>
    <w:rsid w:val="00DA0234"/>
    <w:rsid w:val="00DA04C2"/>
    <w:rsid w:val="00DA36FB"/>
    <w:rsid w:val="00DA3CC7"/>
    <w:rsid w:val="00DA5530"/>
    <w:rsid w:val="00DA57DA"/>
    <w:rsid w:val="00DA5C38"/>
    <w:rsid w:val="00DA7E2A"/>
    <w:rsid w:val="00DB0A33"/>
    <w:rsid w:val="00DB2046"/>
    <w:rsid w:val="00DB205C"/>
    <w:rsid w:val="00DB480E"/>
    <w:rsid w:val="00DC05D5"/>
    <w:rsid w:val="00DC0B01"/>
    <w:rsid w:val="00DC5D71"/>
    <w:rsid w:val="00DD0942"/>
    <w:rsid w:val="00DD0D4D"/>
    <w:rsid w:val="00DD2829"/>
    <w:rsid w:val="00DD738C"/>
    <w:rsid w:val="00DE0A1A"/>
    <w:rsid w:val="00DE0F8B"/>
    <w:rsid w:val="00DE1314"/>
    <w:rsid w:val="00DE3263"/>
    <w:rsid w:val="00DE3424"/>
    <w:rsid w:val="00DE45D9"/>
    <w:rsid w:val="00DE4B60"/>
    <w:rsid w:val="00DE6F14"/>
    <w:rsid w:val="00DF02D8"/>
    <w:rsid w:val="00DF0837"/>
    <w:rsid w:val="00DF0CEC"/>
    <w:rsid w:val="00DF11B0"/>
    <w:rsid w:val="00DF2693"/>
    <w:rsid w:val="00DF287F"/>
    <w:rsid w:val="00DF2C1F"/>
    <w:rsid w:val="00DF3672"/>
    <w:rsid w:val="00DF5C1E"/>
    <w:rsid w:val="00DF7F26"/>
    <w:rsid w:val="00E017CF"/>
    <w:rsid w:val="00E02D93"/>
    <w:rsid w:val="00E05C28"/>
    <w:rsid w:val="00E06545"/>
    <w:rsid w:val="00E0689F"/>
    <w:rsid w:val="00E07DA6"/>
    <w:rsid w:val="00E10CF1"/>
    <w:rsid w:val="00E11365"/>
    <w:rsid w:val="00E13587"/>
    <w:rsid w:val="00E1473F"/>
    <w:rsid w:val="00E16FDF"/>
    <w:rsid w:val="00E200E9"/>
    <w:rsid w:val="00E2078B"/>
    <w:rsid w:val="00E20B27"/>
    <w:rsid w:val="00E22AFE"/>
    <w:rsid w:val="00E22EFA"/>
    <w:rsid w:val="00E2458C"/>
    <w:rsid w:val="00E24B25"/>
    <w:rsid w:val="00E24DBD"/>
    <w:rsid w:val="00E26AA5"/>
    <w:rsid w:val="00E2717B"/>
    <w:rsid w:val="00E30F71"/>
    <w:rsid w:val="00E3184A"/>
    <w:rsid w:val="00E3186E"/>
    <w:rsid w:val="00E33698"/>
    <w:rsid w:val="00E33BCB"/>
    <w:rsid w:val="00E35030"/>
    <w:rsid w:val="00E35086"/>
    <w:rsid w:val="00E351BE"/>
    <w:rsid w:val="00E36C8F"/>
    <w:rsid w:val="00E37174"/>
    <w:rsid w:val="00E42207"/>
    <w:rsid w:val="00E42B02"/>
    <w:rsid w:val="00E43288"/>
    <w:rsid w:val="00E435CB"/>
    <w:rsid w:val="00E44499"/>
    <w:rsid w:val="00E44965"/>
    <w:rsid w:val="00E45082"/>
    <w:rsid w:val="00E454F1"/>
    <w:rsid w:val="00E476B3"/>
    <w:rsid w:val="00E519C8"/>
    <w:rsid w:val="00E54516"/>
    <w:rsid w:val="00E5746A"/>
    <w:rsid w:val="00E60026"/>
    <w:rsid w:val="00E617DC"/>
    <w:rsid w:val="00E62E4C"/>
    <w:rsid w:val="00E63730"/>
    <w:rsid w:val="00E64F3C"/>
    <w:rsid w:val="00E665DE"/>
    <w:rsid w:val="00E7001A"/>
    <w:rsid w:val="00E71AA0"/>
    <w:rsid w:val="00E72AED"/>
    <w:rsid w:val="00E72B61"/>
    <w:rsid w:val="00E76446"/>
    <w:rsid w:val="00E81A13"/>
    <w:rsid w:val="00E8225E"/>
    <w:rsid w:val="00E823B4"/>
    <w:rsid w:val="00E827BE"/>
    <w:rsid w:val="00E82EE7"/>
    <w:rsid w:val="00E83BC7"/>
    <w:rsid w:val="00E83BEC"/>
    <w:rsid w:val="00E866A2"/>
    <w:rsid w:val="00E903D8"/>
    <w:rsid w:val="00E90A31"/>
    <w:rsid w:val="00E92337"/>
    <w:rsid w:val="00E93031"/>
    <w:rsid w:val="00E9346C"/>
    <w:rsid w:val="00E94F92"/>
    <w:rsid w:val="00E957BC"/>
    <w:rsid w:val="00E965BF"/>
    <w:rsid w:val="00EA0B8A"/>
    <w:rsid w:val="00EA1724"/>
    <w:rsid w:val="00EA1B2A"/>
    <w:rsid w:val="00EA2B1A"/>
    <w:rsid w:val="00EA2CE5"/>
    <w:rsid w:val="00EA38E6"/>
    <w:rsid w:val="00EA44B8"/>
    <w:rsid w:val="00EA4D24"/>
    <w:rsid w:val="00EA6EC2"/>
    <w:rsid w:val="00EB12CD"/>
    <w:rsid w:val="00EB1C85"/>
    <w:rsid w:val="00EB5518"/>
    <w:rsid w:val="00EB7381"/>
    <w:rsid w:val="00EC0391"/>
    <w:rsid w:val="00EC2E04"/>
    <w:rsid w:val="00EC3697"/>
    <w:rsid w:val="00EC40C1"/>
    <w:rsid w:val="00EC48FF"/>
    <w:rsid w:val="00EC53A7"/>
    <w:rsid w:val="00ED1F35"/>
    <w:rsid w:val="00ED41B6"/>
    <w:rsid w:val="00EE0872"/>
    <w:rsid w:val="00EE17B3"/>
    <w:rsid w:val="00EE2E16"/>
    <w:rsid w:val="00EE4ED0"/>
    <w:rsid w:val="00EE7C8B"/>
    <w:rsid w:val="00EF0168"/>
    <w:rsid w:val="00EF22F9"/>
    <w:rsid w:val="00EF3116"/>
    <w:rsid w:val="00EF4EC4"/>
    <w:rsid w:val="00EF6038"/>
    <w:rsid w:val="00EF79BD"/>
    <w:rsid w:val="00EF7C64"/>
    <w:rsid w:val="00F00683"/>
    <w:rsid w:val="00F020FA"/>
    <w:rsid w:val="00F03DC9"/>
    <w:rsid w:val="00F06AB3"/>
    <w:rsid w:val="00F06D0A"/>
    <w:rsid w:val="00F1055B"/>
    <w:rsid w:val="00F1154B"/>
    <w:rsid w:val="00F126D9"/>
    <w:rsid w:val="00F12EC9"/>
    <w:rsid w:val="00F14977"/>
    <w:rsid w:val="00F156CE"/>
    <w:rsid w:val="00F15F57"/>
    <w:rsid w:val="00F16017"/>
    <w:rsid w:val="00F17B79"/>
    <w:rsid w:val="00F20A5B"/>
    <w:rsid w:val="00F20C2E"/>
    <w:rsid w:val="00F21EB7"/>
    <w:rsid w:val="00F222B6"/>
    <w:rsid w:val="00F22AAA"/>
    <w:rsid w:val="00F233BB"/>
    <w:rsid w:val="00F236FA"/>
    <w:rsid w:val="00F24D60"/>
    <w:rsid w:val="00F257A9"/>
    <w:rsid w:val="00F25F8E"/>
    <w:rsid w:val="00F267E5"/>
    <w:rsid w:val="00F27440"/>
    <w:rsid w:val="00F27903"/>
    <w:rsid w:val="00F3050E"/>
    <w:rsid w:val="00F32698"/>
    <w:rsid w:val="00F32A35"/>
    <w:rsid w:val="00F34222"/>
    <w:rsid w:val="00F406C3"/>
    <w:rsid w:val="00F40782"/>
    <w:rsid w:val="00F411CE"/>
    <w:rsid w:val="00F42971"/>
    <w:rsid w:val="00F429DB"/>
    <w:rsid w:val="00F43A25"/>
    <w:rsid w:val="00F43FF4"/>
    <w:rsid w:val="00F45771"/>
    <w:rsid w:val="00F45EE3"/>
    <w:rsid w:val="00F46FD5"/>
    <w:rsid w:val="00F47128"/>
    <w:rsid w:val="00F476FB"/>
    <w:rsid w:val="00F50B6A"/>
    <w:rsid w:val="00F50B85"/>
    <w:rsid w:val="00F50DB8"/>
    <w:rsid w:val="00F54BFC"/>
    <w:rsid w:val="00F55C82"/>
    <w:rsid w:val="00F55D0D"/>
    <w:rsid w:val="00F5626C"/>
    <w:rsid w:val="00F56C45"/>
    <w:rsid w:val="00F5734B"/>
    <w:rsid w:val="00F57607"/>
    <w:rsid w:val="00F60AEB"/>
    <w:rsid w:val="00F62536"/>
    <w:rsid w:val="00F63DD9"/>
    <w:rsid w:val="00F6419C"/>
    <w:rsid w:val="00F650E3"/>
    <w:rsid w:val="00F67EAD"/>
    <w:rsid w:val="00F70915"/>
    <w:rsid w:val="00F70DBB"/>
    <w:rsid w:val="00F713E2"/>
    <w:rsid w:val="00F71EA6"/>
    <w:rsid w:val="00F72F0E"/>
    <w:rsid w:val="00F748FD"/>
    <w:rsid w:val="00F74C53"/>
    <w:rsid w:val="00F75198"/>
    <w:rsid w:val="00F7541B"/>
    <w:rsid w:val="00F75788"/>
    <w:rsid w:val="00F757F4"/>
    <w:rsid w:val="00F75994"/>
    <w:rsid w:val="00F768CF"/>
    <w:rsid w:val="00F76F49"/>
    <w:rsid w:val="00F77C34"/>
    <w:rsid w:val="00F8128E"/>
    <w:rsid w:val="00F81F77"/>
    <w:rsid w:val="00F82E7B"/>
    <w:rsid w:val="00F83153"/>
    <w:rsid w:val="00F83B9B"/>
    <w:rsid w:val="00F8515E"/>
    <w:rsid w:val="00F86188"/>
    <w:rsid w:val="00F8766D"/>
    <w:rsid w:val="00F87722"/>
    <w:rsid w:val="00F910C1"/>
    <w:rsid w:val="00F918C8"/>
    <w:rsid w:val="00F91F91"/>
    <w:rsid w:val="00F94385"/>
    <w:rsid w:val="00F94BD0"/>
    <w:rsid w:val="00F954CB"/>
    <w:rsid w:val="00F958A7"/>
    <w:rsid w:val="00F96E78"/>
    <w:rsid w:val="00FA0ADB"/>
    <w:rsid w:val="00FA0C1C"/>
    <w:rsid w:val="00FA1C3E"/>
    <w:rsid w:val="00FA1EDD"/>
    <w:rsid w:val="00FA2516"/>
    <w:rsid w:val="00FA2CBB"/>
    <w:rsid w:val="00FA3453"/>
    <w:rsid w:val="00FA3786"/>
    <w:rsid w:val="00FA3BD1"/>
    <w:rsid w:val="00FA589B"/>
    <w:rsid w:val="00FA7BE6"/>
    <w:rsid w:val="00FB09B9"/>
    <w:rsid w:val="00FB16E4"/>
    <w:rsid w:val="00FB2F62"/>
    <w:rsid w:val="00FB439D"/>
    <w:rsid w:val="00FB5400"/>
    <w:rsid w:val="00FB7B38"/>
    <w:rsid w:val="00FC0784"/>
    <w:rsid w:val="00FC1955"/>
    <w:rsid w:val="00FC2983"/>
    <w:rsid w:val="00FC2A95"/>
    <w:rsid w:val="00FC3EBC"/>
    <w:rsid w:val="00FC6BA3"/>
    <w:rsid w:val="00FC6E83"/>
    <w:rsid w:val="00FC6EC1"/>
    <w:rsid w:val="00FC7379"/>
    <w:rsid w:val="00FC7D05"/>
    <w:rsid w:val="00FD06C5"/>
    <w:rsid w:val="00FD2466"/>
    <w:rsid w:val="00FD443B"/>
    <w:rsid w:val="00FD45C7"/>
    <w:rsid w:val="00FD5910"/>
    <w:rsid w:val="00FD5AF4"/>
    <w:rsid w:val="00FD77C9"/>
    <w:rsid w:val="00FE0B2A"/>
    <w:rsid w:val="00FE33F5"/>
    <w:rsid w:val="00FE3488"/>
    <w:rsid w:val="00FE36B1"/>
    <w:rsid w:val="00FE3B3F"/>
    <w:rsid w:val="00FE3FE4"/>
    <w:rsid w:val="00FE4ACA"/>
    <w:rsid w:val="00FE516B"/>
    <w:rsid w:val="00FE5E4E"/>
    <w:rsid w:val="00FF0E7E"/>
    <w:rsid w:val="00FF3F22"/>
    <w:rsid w:val="00FF4557"/>
    <w:rsid w:val="00FF5D3E"/>
    <w:rsid w:val="11E46A04"/>
    <w:rsid w:val="2D6C322B"/>
    <w:rsid w:val="2E625882"/>
    <w:rsid w:val="2F4A056A"/>
    <w:rsid w:val="428468D8"/>
    <w:rsid w:val="744A4396"/>
    <w:rsid w:val="7DB60D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360"/>
        <o:r id="V:Rule2" type="connector" idref="#_x0000_s1362"/>
        <o:r id="V:Rule3" type="connector" idref="#_x0000_s136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ascii="Times New Roman" w:hAnsi="Times New Roman" w:cs="Times New Roman" w:eastAsiaTheme="minorEastAsia"/>
      <w:kern w:val="2"/>
      <w:sz w:val="26"/>
      <w:szCs w:val="22"/>
      <w:lang w:val="en-US" w:eastAsia="zh-CN" w:bidi="ar-SA"/>
    </w:rPr>
  </w:style>
  <w:style w:type="paragraph" w:styleId="2">
    <w:name w:val="heading 1"/>
    <w:next w:val="1"/>
    <w:link w:val="51"/>
    <w:qFormat/>
    <w:uiPriority w:val="9"/>
    <w:pPr>
      <w:keepNext/>
      <w:keepLines/>
      <w:adjustRightInd w:val="0"/>
      <w:snapToGrid w:val="0"/>
      <w:spacing w:beforeLines="50" w:afterLines="30" w:line="360" w:lineRule="auto"/>
      <w:outlineLvl w:val="0"/>
    </w:pPr>
    <w:rPr>
      <w:rFonts w:ascii="Times New Roman" w:hAnsi="Times New Roman" w:eastAsia="黑体" w:cs="Times New Roman"/>
      <w:b/>
      <w:bCs/>
      <w:kern w:val="44"/>
      <w:sz w:val="36"/>
      <w:szCs w:val="44"/>
      <w:lang w:val="en-US" w:eastAsia="zh-CN" w:bidi="ar-SA"/>
    </w:rPr>
  </w:style>
  <w:style w:type="paragraph" w:styleId="3">
    <w:name w:val="heading 2"/>
    <w:next w:val="1"/>
    <w:link w:val="52"/>
    <w:unhideWhenUsed/>
    <w:qFormat/>
    <w:uiPriority w:val="0"/>
    <w:pPr>
      <w:spacing w:beforeLines="20" w:afterLines="20" w:line="360" w:lineRule="auto"/>
      <w:outlineLvl w:val="1"/>
    </w:pPr>
    <w:rPr>
      <w:rFonts w:ascii="Times New Roman" w:hAnsi="Times New Roman" w:eastAsia="黑体" w:cs="Times New Roman"/>
      <w:kern w:val="44"/>
      <w:sz w:val="32"/>
      <w:szCs w:val="44"/>
      <w:lang w:val="en-US" w:eastAsia="zh-CN" w:bidi="ar-SA"/>
    </w:rPr>
  </w:style>
  <w:style w:type="paragraph" w:styleId="4">
    <w:name w:val="heading 3"/>
    <w:next w:val="1"/>
    <w:link w:val="53"/>
    <w:unhideWhenUsed/>
    <w:qFormat/>
    <w:uiPriority w:val="9"/>
    <w:pPr>
      <w:adjustRightInd w:val="0"/>
      <w:snapToGrid w:val="0"/>
      <w:spacing w:beforeLines="20" w:line="360" w:lineRule="auto"/>
      <w:outlineLvl w:val="2"/>
    </w:pPr>
    <w:rPr>
      <w:rFonts w:ascii="Times New Roman" w:hAnsi="Times New Roman" w:eastAsia="黑体" w:cs="Times New Roman"/>
      <w:bCs/>
      <w:kern w:val="44"/>
      <w:sz w:val="30"/>
      <w:szCs w:val="32"/>
      <w:lang w:val="en-US" w:eastAsia="zh-CN" w:bidi="ar-SA"/>
    </w:rPr>
  </w:style>
  <w:style w:type="paragraph" w:styleId="5">
    <w:name w:val="heading 4"/>
    <w:next w:val="1"/>
    <w:link w:val="54"/>
    <w:unhideWhenUsed/>
    <w:qFormat/>
    <w:uiPriority w:val="9"/>
    <w:pPr>
      <w:adjustRightInd w:val="0"/>
      <w:snapToGrid w:val="0"/>
      <w:spacing w:line="360" w:lineRule="auto"/>
      <w:ind w:firstLine="200" w:firstLineChars="200"/>
      <w:outlineLvl w:val="3"/>
    </w:pPr>
    <w:rPr>
      <w:rFonts w:ascii="Times New Roman" w:hAnsi="Times New Roman" w:eastAsia="黑体" w:cs="Times New Roman"/>
      <w:bCs/>
      <w:kern w:val="44"/>
      <w:sz w:val="28"/>
      <w:szCs w:val="24"/>
      <w:lang w:val="en-US" w:eastAsia="zh-CN" w:bidi="ar-SA"/>
    </w:rPr>
  </w:style>
  <w:style w:type="paragraph" w:styleId="6">
    <w:name w:val="heading 5"/>
    <w:next w:val="1"/>
    <w:link w:val="55"/>
    <w:unhideWhenUsed/>
    <w:qFormat/>
    <w:uiPriority w:val="9"/>
    <w:pPr>
      <w:keepNext/>
      <w:keepLines/>
      <w:adjustRightInd w:val="0"/>
      <w:snapToGrid w:val="0"/>
      <w:spacing w:beforeLines="20" w:afterLines="20" w:line="360" w:lineRule="auto"/>
      <w:ind w:firstLine="200" w:firstLineChars="200"/>
      <w:outlineLvl w:val="4"/>
    </w:pPr>
    <w:rPr>
      <w:rFonts w:ascii="Times New Roman" w:hAnsi="Times New Roman" w:eastAsia="黑体" w:cs="Times New Roman"/>
      <w:bCs/>
      <w:sz w:val="28"/>
      <w:szCs w:val="28"/>
      <w:lang w:val="en-US" w:eastAsia="zh-CN" w:bidi="ar-SA"/>
    </w:rPr>
  </w:style>
  <w:style w:type="paragraph" w:styleId="7">
    <w:name w:val="heading 6"/>
    <w:basedOn w:val="1"/>
    <w:next w:val="1"/>
    <w:link w:val="56"/>
    <w:unhideWhenUsed/>
    <w:qFormat/>
    <w:uiPriority w:val="9"/>
    <w:pPr>
      <w:keepNext/>
      <w:keepLines/>
      <w:spacing w:afterLines="20"/>
      <w:outlineLvl w:val="5"/>
    </w:pPr>
    <w:rPr>
      <w:rFonts w:ascii="Calibri" w:hAnsi="Calibri" w:cstheme="majorBidi"/>
      <w:b/>
      <w:bCs/>
      <w:kern w:val="0"/>
      <w:sz w:val="20"/>
      <w:szCs w:val="24"/>
    </w:rPr>
  </w:style>
  <w:style w:type="character" w:default="1" w:styleId="42">
    <w:name w:val="Default Paragraph Font"/>
    <w:semiHidden/>
    <w:unhideWhenUsed/>
    <w:qFormat/>
    <w:uiPriority w:val="1"/>
  </w:style>
  <w:style w:type="table" w:default="1" w:styleId="47">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78"/>
    <w:semiHidden/>
    <w:unhideWhenUsed/>
    <w:qFormat/>
    <w:uiPriority w:val="99"/>
    <w:rPr>
      <w:b/>
      <w:bCs/>
    </w:rPr>
  </w:style>
  <w:style w:type="paragraph" w:styleId="9">
    <w:name w:val="annotation text"/>
    <w:basedOn w:val="1"/>
    <w:link w:val="77"/>
    <w:semiHidden/>
    <w:unhideWhenUsed/>
    <w:qFormat/>
    <w:uiPriority w:val="99"/>
    <w:pPr>
      <w:jc w:val="left"/>
    </w:pPr>
  </w:style>
  <w:style w:type="paragraph" w:styleId="10">
    <w:name w:val="toc 7"/>
    <w:basedOn w:val="1"/>
    <w:next w:val="1"/>
    <w:unhideWhenUsed/>
    <w:qFormat/>
    <w:uiPriority w:val="39"/>
    <w:pPr>
      <w:ind w:left="1560"/>
      <w:jc w:val="left"/>
    </w:pPr>
    <w:rPr>
      <w:rFonts w:asciiTheme="minorHAnsi" w:hAnsiTheme="minorHAnsi"/>
      <w:sz w:val="18"/>
      <w:szCs w:val="18"/>
    </w:rPr>
  </w:style>
  <w:style w:type="paragraph" w:styleId="11">
    <w:name w:val="Body Text First Indent"/>
    <w:basedOn w:val="12"/>
    <w:link w:val="91"/>
    <w:semiHidden/>
    <w:unhideWhenUsed/>
    <w:qFormat/>
    <w:uiPriority w:val="99"/>
    <w:pPr>
      <w:spacing w:after="120" w:line="360" w:lineRule="auto"/>
      <w:ind w:firstLine="420" w:firstLineChars="100"/>
      <w:textAlignment w:val="auto"/>
    </w:pPr>
    <w:rPr>
      <w:rFonts w:ascii="Times New Roman" w:hAnsi="Times New Roman" w:eastAsia="宋体"/>
      <w:b w:val="0"/>
      <w:kern w:val="2"/>
      <w:sz w:val="26"/>
      <w:szCs w:val="22"/>
    </w:rPr>
  </w:style>
  <w:style w:type="paragraph" w:styleId="12">
    <w:name w:val="Body Text"/>
    <w:basedOn w:val="1"/>
    <w:link w:val="69"/>
    <w:qFormat/>
    <w:uiPriority w:val="99"/>
    <w:pPr>
      <w:spacing w:line="300" w:lineRule="auto"/>
      <w:textAlignment w:val="baseline"/>
    </w:pPr>
    <w:rPr>
      <w:rFonts w:ascii="Arial Narrow" w:hAnsi="Arial Narrow" w:eastAsia="仿宋_GB2312"/>
      <w:b/>
      <w:kern w:val="0"/>
      <w:sz w:val="24"/>
      <w:szCs w:val="20"/>
    </w:rPr>
  </w:style>
  <w:style w:type="paragraph" w:styleId="13">
    <w:name w:val="index 8"/>
    <w:basedOn w:val="1"/>
    <w:next w:val="1"/>
    <w:unhideWhenUsed/>
    <w:qFormat/>
    <w:uiPriority w:val="99"/>
    <w:pPr>
      <w:ind w:left="2080" w:hanging="260"/>
      <w:jc w:val="left"/>
    </w:pPr>
    <w:rPr>
      <w:rFonts w:asciiTheme="minorHAnsi" w:hAnsiTheme="minorHAnsi" w:cstheme="minorHAnsi"/>
      <w:sz w:val="18"/>
      <w:szCs w:val="18"/>
    </w:rPr>
  </w:style>
  <w:style w:type="paragraph" w:styleId="14">
    <w:name w:val="Normal Indent"/>
    <w:basedOn w:val="1"/>
    <w:link w:val="92"/>
    <w:qFormat/>
    <w:uiPriority w:val="0"/>
    <w:pPr>
      <w:adjustRightInd/>
      <w:snapToGrid/>
      <w:spacing w:line="240" w:lineRule="auto"/>
      <w:ind w:firstLine="420"/>
    </w:pPr>
    <w:rPr>
      <w:rFonts w:eastAsia="宋体"/>
      <w:sz w:val="21"/>
      <w:szCs w:val="20"/>
    </w:rPr>
  </w:style>
  <w:style w:type="paragraph" w:styleId="15">
    <w:name w:val="caption"/>
    <w:basedOn w:val="1"/>
    <w:next w:val="1"/>
    <w:semiHidden/>
    <w:unhideWhenUsed/>
    <w:qFormat/>
    <w:uiPriority w:val="35"/>
    <w:rPr>
      <w:rFonts w:eastAsia="黑体" w:asciiTheme="majorHAnsi" w:hAnsiTheme="majorHAnsi" w:cstheme="majorBidi"/>
      <w:sz w:val="20"/>
      <w:szCs w:val="20"/>
    </w:rPr>
  </w:style>
  <w:style w:type="paragraph" w:styleId="16">
    <w:name w:val="index 5"/>
    <w:basedOn w:val="1"/>
    <w:next w:val="1"/>
    <w:unhideWhenUsed/>
    <w:qFormat/>
    <w:uiPriority w:val="99"/>
    <w:pPr>
      <w:ind w:left="1300" w:hanging="260"/>
      <w:jc w:val="left"/>
    </w:pPr>
    <w:rPr>
      <w:rFonts w:asciiTheme="minorHAnsi" w:hAnsiTheme="minorHAnsi" w:cstheme="minorHAnsi"/>
      <w:sz w:val="18"/>
      <w:szCs w:val="18"/>
    </w:rPr>
  </w:style>
  <w:style w:type="paragraph" w:styleId="17">
    <w:name w:val="index 6"/>
    <w:basedOn w:val="1"/>
    <w:next w:val="1"/>
    <w:unhideWhenUsed/>
    <w:qFormat/>
    <w:uiPriority w:val="99"/>
    <w:pPr>
      <w:ind w:left="1560" w:hanging="260"/>
      <w:jc w:val="left"/>
    </w:pPr>
    <w:rPr>
      <w:rFonts w:asciiTheme="minorHAnsi" w:hAnsiTheme="minorHAnsi" w:cstheme="minorHAnsi"/>
      <w:sz w:val="18"/>
      <w:szCs w:val="18"/>
    </w:rPr>
  </w:style>
  <w:style w:type="paragraph" w:styleId="18">
    <w:name w:val="Body Text Indent"/>
    <w:basedOn w:val="1"/>
    <w:link w:val="93"/>
    <w:semiHidden/>
    <w:unhideWhenUsed/>
    <w:qFormat/>
    <w:uiPriority w:val="99"/>
    <w:pPr>
      <w:spacing w:after="120"/>
      <w:ind w:left="420" w:leftChars="200"/>
    </w:pPr>
  </w:style>
  <w:style w:type="paragraph" w:styleId="19">
    <w:name w:val="index 4"/>
    <w:basedOn w:val="1"/>
    <w:next w:val="1"/>
    <w:unhideWhenUsed/>
    <w:qFormat/>
    <w:uiPriority w:val="99"/>
    <w:pPr>
      <w:ind w:left="1040" w:hanging="260"/>
      <w:jc w:val="left"/>
    </w:pPr>
    <w:rPr>
      <w:rFonts w:asciiTheme="minorHAnsi" w:hAnsiTheme="minorHAnsi" w:cstheme="minorHAnsi"/>
      <w:sz w:val="18"/>
      <w:szCs w:val="18"/>
    </w:rPr>
  </w:style>
  <w:style w:type="paragraph" w:styleId="20">
    <w:name w:val="toc 5"/>
    <w:basedOn w:val="1"/>
    <w:next w:val="1"/>
    <w:unhideWhenUsed/>
    <w:qFormat/>
    <w:uiPriority w:val="39"/>
    <w:pPr>
      <w:ind w:left="1040"/>
      <w:jc w:val="left"/>
    </w:pPr>
    <w:rPr>
      <w:rFonts w:asciiTheme="minorHAnsi" w:hAnsiTheme="minorHAnsi"/>
      <w:sz w:val="18"/>
      <w:szCs w:val="18"/>
    </w:rPr>
  </w:style>
  <w:style w:type="paragraph" w:styleId="21">
    <w:name w:val="toc 3"/>
    <w:next w:val="1"/>
    <w:unhideWhenUsed/>
    <w:qFormat/>
    <w:uiPriority w:val="39"/>
    <w:pPr>
      <w:widowControl w:val="0"/>
      <w:adjustRightInd w:val="0"/>
      <w:snapToGrid w:val="0"/>
      <w:spacing w:line="360" w:lineRule="auto"/>
      <w:ind w:left="520"/>
    </w:pPr>
    <w:rPr>
      <w:rFonts w:cs="Times New Roman" w:asciiTheme="minorHAnsi" w:hAnsiTheme="minorHAnsi" w:eastAsiaTheme="minorEastAsia"/>
      <w:i/>
      <w:iCs/>
      <w:kern w:val="2"/>
      <w:lang w:val="en-US" w:eastAsia="zh-CN" w:bidi="ar-SA"/>
    </w:rPr>
  </w:style>
  <w:style w:type="paragraph" w:styleId="22">
    <w:name w:val="Plain Text"/>
    <w:basedOn w:val="1"/>
    <w:link w:val="74"/>
    <w:qFormat/>
    <w:uiPriority w:val="0"/>
    <w:pPr>
      <w:spacing w:line="520" w:lineRule="exact"/>
    </w:pPr>
    <w:rPr>
      <w:rFonts w:ascii="宋体" w:hAnsi="Courier New" w:eastAsia="宋体"/>
      <w:kern w:val="0"/>
      <w:sz w:val="32"/>
      <w:szCs w:val="24"/>
    </w:rPr>
  </w:style>
  <w:style w:type="paragraph" w:styleId="23">
    <w:name w:val="toc 8"/>
    <w:basedOn w:val="1"/>
    <w:next w:val="1"/>
    <w:unhideWhenUsed/>
    <w:qFormat/>
    <w:uiPriority w:val="39"/>
    <w:pPr>
      <w:ind w:left="1820"/>
      <w:jc w:val="left"/>
    </w:pPr>
    <w:rPr>
      <w:rFonts w:asciiTheme="minorHAnsi" w:hAnsiTheme="minorHAnsi"/>
      <w:sz w:val="18"/>
      <w:szCs w:val="18"/>
    </w:rPr>
  </w:style>
  <w:style w:type="paragraph" w:styleId="24">
    <w:name w:val="index 3"/>
    <w:basedOn w:val="1"/>
    <w:next w:val="1"/>
    <w:unhideWhenUsed/>
    <w:qFormat/>
    <w:uiPriority w:val="99"/>
    <w:pPr>
      <w:ind w:left="780" w:hanging="260"/>
      <w:jc w:val="left"/>
    </w:pPr>
    <w:rPr>
      <w:rFonts w:asciiTheme="minorHAnsi" w:hAnsiTheme="minorHAnsi" w:cstheme="minorHAnsi"/>
      <w:sz w:val="18"/>
      <w:szCs w:val="18"/>
    </w:rPr>
  </w:style>
  <w:style w:type="paragraph" w:styleId="25">
    <w:name w:val="Date"/>
    <w:basedOn w:val="1"/>
    <w:next w:val="1"/>
    <w:link w:val="108"/>
    <w:semiHidden/>
    <w:unhideWhenUsed/>
    <w:qFormat/>
    <w:uiPriority w:val="99"/>
    <w:pPr>
      <w:ind w:left="100" w:leftChars="2500"/>
    </w:pPr>
  </w:style>
  <w:style w:type="paragraph" w:styleId="26">
    <w:name w:val="Body Text Indent 2"/>
    <w:basedOn w:val="1"/>
    <w:link w:val="80"/>
    <w:qFormat/>
    <w:uiPriority w:val="0"/>
    <w:pPr>
      <w:adjustRightInd/>
      <w:snapToGrid/>
      <w:spacing w:line="500" w:lineRule="exact"/>
      <w:ind w:firstLine="480"/>
    </w:pPr>
    <w:rPr>
      <w:rFonts w:ascii="宋体" w:hAnsi="SnyderSpeed" w:eastAsia="宋体"/>
      <w:color w:val="0000FF"/>
      <w:sz w:val="24"/>
      <w:szCs w:val="24"/>
    </w:rPr>
  </w:style>
  <w:style w:type="paragraph" w:styleId="27">
    <w:name w:val="Balloon Text"/>
    <w:basedOn w:val="1"/>
    <w:link w:val="66"/>
    <w:semiHidden/>
    <w:unhideWhenUsed/>
    <w:qFormat/>
    <w:uiPriority w:val="99"/>
    <w:pPr>
      <w:spacing w:line="240" w:lineRule="auto"/>
    </w:pPr>
    <w:rPr>
      <w:sz w:val="18"/>
      <w:szCs w:val="18"/>
    </w:rPr>
  </w:style>
  <w:style w:type="paragraph" w:styleId="28">
    <w:name w:val="footer"/>
    <w:basedOn w:val="1"/>
    <w:link w:val="65"/>
    <w:unhideWhenUsed/>
    <w:qFormat/>
    <w:uiPriority w:val="99"/>
    <w:pPr>
      <w:tabs>
        <w:tab w:val="center" w:pos="4153"/>
        <w:tab w:val="right" w:pos="8306"/>
      </w:tabs>
      <w:spacing w:line="240" w:lineRule="auto"/>
      <w:jc w:val="left"/>
    </w:pPr>
    <w:rPr>
      <w:sz w:val="18"/>
      <w:szCs w:val="18"/>
    </w:rPr>
  </w:style>
  <w:style w:type="paragraph" w:styleId="29">
    <w:name w:val="header"/>
    <w:basedOn w:val="1"/>
    <w:link w:val="64"/>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30">
    <w:name w:val="toc 1"/>
    <w:basedOn w:val="1"/>
    <w:next w:val="1"/>
    <w:unhideWhenUsed/>
    <w:qFormat/>
    <w:uiPriority w:val="39"/>
    <w:pPr>
      <w:spacing w:before="120" w:after="120"/>
      <w:jc w:val="left"/>
    </w:pPr>
    <w:rPr>
      <w:rFonts w:asciiTheme="minorHAnsi" w:hAnsiTheme="minorHAnsi"/>
      <w:b/>
      <w:bCs/>
      <w:caps/>
      <w:sz w:val="20"/>
      <w:szCs w:val="20"/>
    </w:rPr>
  </w:style>
  <w:style w:type="paragraph" w:styleId="31">
    <w:name w:val="toc 4"/>
    <w:basedOn w:val="1"/>
    <w:next w:val="1"/>
    <w:unhideWhenUsed/>
    <w:qFormat/>
    <w:uiPriority w:val="39"/>
    <w:pPr>
      <w:ind w:left="780"/>
      <w:jc w:val="left"/>
    </w:pPr>
    <w:rPr>
      <w:rFonts w:asciiTheme="minorHAnsi" w:hAnsiTheme="minorHAnsi"/>
      <w:sz w:val="18"/>
      <w:szCs w:val="18"/>
    </w:rPr>
  </w:style>
  <w:style w:type="paragraph" w:styleId="32">
    <w:name w:val="index heading"/>
    <w:basedOn w:val="1"/>
    <w:next w:val="33"/>
    <w:unhideWhenUsed/>
    <w:qFormat/>
    <w:uiPriority w:val="99"/>
    <w:pPr>
      <w:spacing w:before="240" w:after="120"/>
      <w:jc w:val="center"/>
    </w:pPr>
    <w:rPr>
      <w:rFonts w:asciiTheme="minorHAnsi" w:hAnsiTheme="minorHAnsi" w:cstheme="minorHAnsi"/>
      <w:b/>
      <w:bCs/>
      <w:szCs w:val="26"/>
    </w:rPr>
  </w:style>
  <w:style w:type="paragraph" w:styleId="33">
    <w:name w:val="index 1"/>
    <w:basedOn w:val="1"/>
    <w:next w:val="1"/>
    <w:unhideWhenUsed/>
    <w:qFormat/>
    <w:uiPriority w:val="99"/>
    <w:pPr>
      <w:ind w:left="260" w:hanging="260"/>
      <w:jc w:val="left"/>
    </w:pPr>
    <w:rPr>
      <w:rFonts w:asciiTheme="minorHAnsi" w:hAnsiTheme="minorHAnsi" w:cstheme="minorHAnsi"/>
      <w:sz w:val="18"/>
      <w:szCs w:val="18"/>
    </w:rPr>
  </w:style>
  <w:style w:type="paragraph" w:styleId="34">
    <w:name w:val="toc 6"/>
    <w:basedOn w:val="1"/>
    <w:next w:val="1"/>
    <w:unhideWhenUsed/>
    <w:qFormat/>
    <w:uiPriority w:val="39"/>
    <w:pPr>
      <w:ind w:left="1300"/>
      <w:jc w:val="left"/>
    </w:pPr>
    <w:rPr>
      <w:rFonts w:asciiTheme="minorHAnsi" w:hAnsiTheme="minorHAnsi"/>
      <w:sz w:val="18"/>
      <w:szCs w:val="18"/>
    </w:rPr>
  </w:style>
  <w:style w:type="paragraph" w:styleId="35">
    <w:name w:val="index 7"/>
    <w:basedOn w:val="1"/>
    <w:next w:val="1"/>
    <w:unhideWhenUsed/>
    <w:qFormat/>
    <w:uiPriority w:val="99"/>
    <w:pPr>
      <w:ind w:left="1820" w:hanging="260"/>
      <w:jc w:val="left"/>
    </w:pPr>
    <w:rPr>
      <w:rFonts w:asciiTheme="minorHAnsi" w:hAnsiTheme="minorHAnsi" w:cstheme="minorHAnsi"/>
      <w:sz w:val="18"/>
      <w:szCs w:val="18"/>
    </w:rPr>
  </w:style>
  <w:style w:type="paragraph" w:styleId="36">
    <w:name w:val="index 9"/>
    <w:basedOn w:val="1"/>
    <w:next w:val="1"/>
    <w:unhideWhenUsed/>
    <w:qFormat/>
    <w:uiPriority w:val="99"/>
    <w:pPr>
      <w:ind w:left="2340" w:hanging="260"/>
      <w:jc w:val="left"/>
    </w:pPr>
    <w:rPr>
      <w:rFonts w:asciiTheme="minorHAnsi" w:hAnsiTheme="minorHAnsi" w:cstheme="minorHAnsi"/>
      <w:sz w:val="18"/>
      <w:szCs w:val="18"/>
    </w:rPr>
  </w:style>
  <w:style w:type="paragraph" w:styleId="37">
    <w:name w:val="toc 2"/>
    <w:basedOn w:val="1"/>
    <w:next w:val="1"/>
    <w:unhideWhenUsed/>
    <w:qFormat/>
    <w:uiPriority w:val="39"/>
    <w:pPr>
      <w:ind w:left="260"/>
      <w:jc w:val="left"/>
    </w:pPr>
    <w:rPr>
      <w:rFonts w:asciiTheme="minorHAnsi" w:hAnsiTheme="minorHAnsi"/>
      <w:smallCaps/>
      <w:sz w:val="20"/>
      <w:szCs w:val="20"/>
    </w:rPr>
  </w:style>
  <w:style w:type="paragraph" w:styleId="38">
    <w:name w:val="toc 9"/>
    <w:basedOn w:val="1"/>
    <w:next w:val="1"/>
    <w:unhideWhenUsed/>
    <w:qFormat/>
    <w:uiPriority w:val="39"/>
    <w:pPr>
      <w:ind w:left="2080"/>
      <w:jc w:val="left"/>
    </w:pPr>
    <w:rPr>
      <w:rFonts w:asciiTheme="minorHAnsi" w:hAnsiTheme="minorHAnsi"/>
      <w:sz w:val="18"/>
      <w:szCs w:val="18"/>
    </w:rPr>
  </w:style>
  <w:style w:type="paragraph" w:styleId="39">
    <w:name w:val="HTML Preformatted"/>
    <w:basedOn w:val="1"/>
    <w:link w:val="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宋体" w:hAnsi="宋体" w:eastAsia="宋体"/>
      <w:kern w:val="0"/>
      <w:sz w:val="24"/>
      <w:szCs w:val="24"/>
    </w:rPr>
  </w:style>
  <w:style w:type="paragraph" w:styleId="40">
    <w:name w:val="index 2"/>
    <w:basedOn w:val="1"/>
    <w:next w:val="1"/>
    <w:unhideWhenUsed/>
    <w:qFormat/>
    <w:uiPriority w:val="99"/>
    <w:pPr>
      <w:ind w:left="520" w:hanging="260"/>
      <w:jc w:val="left"/>
    </w:pPr>
    <w:rPr>
      <w:rFonts w:asciiTheme="minorHAnsi" w:hAnsiTheme="minorHAnsi" w:cstheme="minorHAnsi"/>
      <w:sz w:val="18"/>
      <w:szCs w:val="18"/>
    </w:rPr>
  </w:style>
  <w:style w:type="paragraph" w:styleId="41">
    <w:name w:val="Title"/>
    <w:basedOn w:val="1"/>
    <w:next w:val="1"/>
    <w:link w:val="79"/>
    <w:qFormat/>
    <w:uiPriority w:val="10"/>
    <w:pPr>
      <w:adjustRightInd/>
      <w:spacing w:before="240" w:after="60" w:line="240" w:lineRule="auto"/>
      <w:jc w:val="center"/>
      <w:outlineLvl w:val="0"/>
    </w:pPr>
    <w:rPr>
      <w:rFonts w:asciiTheme="majorHAnsi" w:hAnsiTheme="majorHAnsi" w:cstheme="majorBidi"/>
      <w:bCs/>
      <w:sz w:val="21"/>
      <w:szCs w:val="32"/>
    </w:rPr>
  </w:style>
  <w:style w:type="character" w:styleId="43">
    <w:name w:val="Strong"/>
    <w:qFormat/>
    <w:uiPriority w:val="22"/>
    <w:rPr>
      <w:b/>
      <w:bCs/>
    </w:rPr>
  </w:style>
  <w:style w:type="character" w:styleId="44">
    <w:name w:val="page number"/>
    <w:basedOn w:val="42"/>
    <w:qFormat/>
    <w:uiPriority w:val="0"/>
  </w:style>
  <w:style w:type="character" w:styleId="45">
    <w:name w:val="Hyperlink"/>
    <w:basedOn w:val="42"/>
    <w:qFormat/>
    <w:uiPriority w:val="99"/>
    <w:rPr>
      <w:color w:val="0000FF"/>
      <w:u w:val="single"/>
    </w:rPr>
  </w:style>
  <w:style w:type="character" w:styleId="46">
    <w:name w:val="annotation reference"/>
    <w:basedOn w:val="42"/>
    <w:semiHidden/>
    <w:unhideWhenUsed/>
    <w:qFormat/>
    <w:uiPriority w:val="99"/>
    <w:rPr>
      <w:sz w:val="21"/>
      <w:szCs w:val="21"/>
    </w:rPr>
  </w:style>
  <w:style w:type="table" w:styleId="48">
    <w:name w:val="Table Grid"/>
    <w:basedOn w:val="47"/>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9">
    <w:name w:val="表头、图头"/>
    <w:next w:val="1"/>
    <w:qFormat/>
    <w:uiPriority w:val="99"/>
    <w:pPr>
      <w:adjustRightInd w:val="0"/>
      <w:snapToGrid w:val="0"/>
      <w:spacing w:beforeLines="50" w:line="360" w:lineRule="auto"/>
      <w:jc w:val="center"/>
    </w:pPr>
    <w:rPr>
      <w:rFonts w:ascii="Times New Roman" w:hAnsi="Times New Roman" w:eastAsia="黑体" w:cs="Times New Roman"/>
      <w:kern w:val="2"/>
      <w:sz w:val="22"/>
      <w:szCs w:val="28"/>
      <w:lang w:val="en-US" w:eastAsia="zh-CN" w:bidi="ar-SA"/>
    </w:rPr>
  </w:style>
  <w:style w:type="paragraph" w:customStyle="1" w:styleId="50">
    <w:name w:val="表内容"/>
    <w:qFormat/>
    <w:uiPriority w:val="0"/>
    <w:pPr>
      <w:adjustRightInd w:val="0"/>
      <w:snapToGrid w:val="0"/>
      <w:spacing w:beforeLines="20" w:line="288" w:lineRule="auto"/>
      <w:jc w:val="center"/>
    </w:pPr>
    <w:rPr>
      <w:rFonts w:ascii="Times New Roman" w:hAnsi="Times New Roman" w:eastAsia="宋体" w:cs="Times New Roman"/>
      <w:bCs/>
      <w:kern w:val="2"/>
      <w:sz w:val="22"/>
      <w:szCs w:val="24"/>
      <w:lang w:val="en-US" w:eastAsia="zh-CN" w:bidi="ar-SA"/>
    </w:rPr>
  </w:style>
  <w:style w:type="character" w:customStyle="1" w:styleId="51">
    <w:name w:val="标题 1 Char"/>
    <w:link w:val="2"/>
    <w:qFormat/>
    <w:uiPriority w:val="9"/>
    <w:rPr>
      <w:rFonts w:ascii="Times New Roman" w:hAnsi="Times New Roman" w:eastAsia="黑体"/>
      <w:b/>
      <w:bCs/>
      <w:kern w:val="44"/>
      <w:sz w:val="36"/>
      <w:szCs w:val="44"/>
    </w:rPr>
  </w:style>
  <w:style w:type="character" w:customStyle="1" w:styleId="52">
    <w:name w:val="标题 2 Char"/>
    <w:link w:val="3"/>
    <w:qFormat/>
    <w:uiPriority w:val="0"/>
    <w:rPr>
      <w:rFonts w:ascii="Times New Roman" w:hAnsi="Times New Roman" w:eastAsia="黑体"/>
      <w:kern w:val="44"/>
      <w:sz w:val="32"/>
      <w:szCs w:val="44"/>
    </w:rPr>
  </w:style>
  <w:style w:type="character" w:customStyle="1" w:styleId="53">
    <w:name w:val="标题 3 Char"/>
    <w:link w:val="4"/>
    <w:qFormat/>
    <w:uiPriority w:val="9"/>
    <w:rPr>
      <w:rFonts w:ascii="Times New Roman" w:hAnsi="Times New Roman" w:eastAsia="黑体"/>
      <w:bCs/>
      <w:kern w:val="44"/>
      <w:sz w:val="30"/>
      <w:szCs w:val="32"/>
    </w:rPr>
  </w:style>
  <w:style w:type="character" w:customStyle="1" w:styleId="54">
    <w:name w:val="标题 4 Char"/>
    <w:link w:val="5"/>
    <w:qFormat/>
    <w:uiPriority w:val="9"/>
    <w:rPr>
      <w:rFonts w:ascii="Times New Roman" w:hAnsi="Times New Roman" w:eastAsia="黑体"/>
      <w:bCs/>
      <w:kern w:val="44"/>
      <w:sz w:val="28"/>
      <w:szCs w:val="24"/>
    </w:rPr>
  </w:style>
  <w:style w:type="character" w:customStyle="1" w:styleId="55">
    <w:name w:val="标题 5 Char"/>
    <w:link w:val="6"/>
    <w:qFormat/>
    <w:uiPriority w:val="9"/>
    <w:rPr>
      <w:rFonts w:ascii="Times New Roman" w:hAnsi="Times New Roman" w:eastAsia="黑体"/>
      <w:bCs/>
      <w:sz w:val="28"/>
      <w:szCs w:val="28"/>
    </w:rPr>
  </w:style>
  <w:style w:type="character" w:customStyle="1" w:styleId="56">
    <w:name w:val="标题 6 Char"/>
    <w:link w:val="7"/>
    <w:qFormat/>
    <w:uiPriority w:val="9"/>
    <w:rPr>
      <w:rFonts w:cstheme="majorBidi"/>
      <w:b/>
      <w:bCs/>
      <w:szCs w:val="24"/>
    </w:rPr>
  </w:style>
  <w:style w:type="paragraph" w:customStyle="1" w:styleId="57">
    <w:name w:val="左对齐表格"/>
    <w:basedOn w:val="1"/>
    <w:next w:val="1"/>
    <w:qFormat/>
    <w:uiPriority w:val="0"/>
    <w:pPr>
      <w:spacing w:beforeLines="50" w:line="288" w:lineRule="auto"/>
      <w:jc w:val="left"/>
    </w:pPr>
    <w:rPr>
      <w:sz w:val="24"/>
    </w:rPr>
  </w:style>
  <w:style w:type="paragraph" w:customStyle="1" w:styleId="58">
    <w:name w:val="表格"/>
    <w:basedOn w:val="1"/>
    <w:link w:val="59"/>
    <w:uiPriority w:val="0"/>
    <w:pPr>
      <w:adjustRightInd/>
      <w:spacing w:before="120" w:after="120" w:line="480" w:lineRule="auto"/>
      <w:ind w:firstLine="396" w:firstLineChars="220"/>
      <w:outlineLvl w:val="0"/>
    </w:pPr>
    <w:rPr>
      <w:rFonts w:ascii="宋体" w:cs="宋体"/>
      <w:sz w:val="18"/>
      <w:szCs w:val="18"/>
    </w:rPr>
  </w:style>
  <w:style w:type="character" w:customStyle="1" w:styleId="59">
    <w:name w:val="表格 Char Char"/>
    <w:link w:val="58"/>
    <w:qFormat/>
    <w:uiPriority w:val="0"/>
    <w:rPr>
      <w:rFonts w:ascii="宋体" w:hAnsi="Times New Roman" w:eastAsia="宋体" w:cs="宋体"/>
      <w:sz w:val="18"/>
      <w:szCs w:val="18"/>
    </w:rPr>
  </w:style>
  <w:style w:type="paragraph" w:customStyle="1" w:styleId="60">
    <w:name w:val="表底"/>
    <w:basedOn w:val="49"/>
    <w:qFormat/>
    <w:uiPriority w:val="0"/>
    <w:pPr>
      <w:spacing w:beforeLines="0"/>
    </w:pPr>
    <w:rPr>
      <w:rFonts w:eastAsia="宋体"/>
      <w:b/>
      <w:bCs/>
      <w:kern w:val="0"/>
      <w:sz w:val="21"/>
      <w:szCs w:val="21"/>
    </w:rPr>
  </w:style>
  <w:style w:type="paragraph" w:styleId="61">
    <w:name w:val="List Paragraph"/>
    <w:basedOn w:val="1"/>
    <w:qFormat/>
    <w:uiPriority w:val="34"/>
    <w:pPr>
      <w:ind w:firstLine="420"/>
    </w:pPr>
  </w:style>
  <w:style w:type="paragraph" w:customStyle="1" w:styleId="62">
    <w:name w:val="表头"/>
    <w:basedOn w:val="1"/>
    <w:link w:val="63"/>
    <w:qFormat/>
    <w:uiPriority w:val="0"/>
    <w:pPr>
      <w:spacing w:beforeLines="30" w:afterLines="50" w:line="240" w:lineRule="auto"/>
      <w:jc w:val="center"/>
    </w:pPr>
    <w:rPr>
      <w:rFonts w:eastAsia="黑体" w:cs="黑体"/>
      <w:sz w:val="22"/>
    </w:rPr>
  </w:style>
  <w:style w:type="character" w:customStyle="1" w:styleId="63">
    <w:name w:val="表头 Char"/>
    <w:link w:val="62"/>
    <w:qFormat/>
    <w:locked/>
    <w:uiPriority w:val="0"/>
    <w:rPr>
      <w:rFonts w:ascii="Times New Roman" w:hAnsi="Times New Roman" w:eastAsia="黑体" w:cs="黑体"/>
      <w:sz w:val="22"/>
      <w:szCs w:val="22"/>
    </w:rPr>
  </w:style>
  <w:style w:type="character" w:customStyle="1" w:styleId="64">
    <w:name w:val="页眉 Char"/>
    <w:basedOn w:val="42"/>
    <w:link w:val="29"/>
    <w:qFormat/>
    <w:uiPriority w:val="99"/>
    <w:rPr>
      <w:rFonts w:ascii="Times New Roman" w:hAnsi="Times New Roman"/>
      <w:sz w:val="18"/>
      <w:szCs w:val="18"/>
    </w:rPr>
  </w:style>
  <w:style w:type="character" w:customStyle="1" w:styleId="65">
    <w:name w:val="页脚 Char"/>
    <w:basedOn w:val="42"/>
    <w:link w:val="28"/>
    <w:qFormat/>
    <w:uiPriority w:val="99"/>
    <w:rPr>
      <w:rFonts w:ascii="Times New Roman" w:hAnsi="Times New Roman"/>
      <w:sz w:val="18"/>
      <w:szCs w:val="18"/>
    </w:rPr>
  </w:style>
  <w:style w:type="character" w:customStyle="1" w:styleId="66">
    <w:name w:val="批注框文本 Char"/>
    <w:basedOn w:val="42"/>
    <w:link w:val="27"/>
    <w:semiHidden/>
    <w:qFormat/>
    <w:uiPriority w:val="99"/>
    <w:rPr>
      <w:rFonts w:ascii="Times New Roman" w:hAnsi="Times New Roman"/>
      <w:kern w:val="2"/>
      <w:sz w:val="18"/>
      <w:szCs w:val="18"/>
    </w:rPr>
  </w:style>
  <w:style w:type="paragraph" w:customStyle="1" w:styleId="67">
    <w:name w:val="Char Char Char Char"/>
    <w:basedOn w:val="1"/>
    <w:uiPriority w:val="0"/>
    <w:pPr>
      <w:widowControl/>
      <w:adjustRightInd/>
      <w:snapToGrid/>
      <w:spacing w:after="160" w:line="240" w:lineRule="exact"/>
      <w:jc w:val="left"/>
    </w:pPr>
    <w:rPr>
      <w:sz w:val="21"/>
      <w:szCs w:val="24"/>
    </w:rPr>
  </w:style>
  <w:style w:type="paragraph" w:customStyle="1" w:styleId="68">
    <w:name w:val="Char Char Char Char Char Char Char Char Char1 Char Char Char Char Char Char Char Char Char Char Char Char Char"/>
    <w:basedOn w:val="2"/>
    <w:qFormat/>
    <w:uiPriority w:val="0"/>
    <w:pPr>
      <w:widowControl w:val="0"/>
      <w:adjustRightInd/>
      <w:spacing w:beforeLines="0" w:afterLines="0" w:line="348" w:lineRule="auto"/>
      <w:jc w:val="both"/>
    </w:pPr>
    <w:rPr>
      <w:rFonts w:ascii="Tahoma" w:hAnsi="Tahoma" w:eastAsia="宋体"/>
      <w:bCs w:val="0"/>
      <w:kern w:val="2"/>
      <w:sz w:val="24"/>
      <w:szCs w:val="20"/>
    </w:rPr>
  </w:style>
  <w:style w:type="character" w:customStyle="1" w:styleId="69">
    <w:name w:val="正文文本 Char"/>
    <w:basedOn w:val="42"/>
    <w:link w:val="12"/>
    <w:qFormat/>
    <w:uiPriority w:val="99"/>
    <w:rPr>
      <w:rFonts w:ascii="Arial Narrow" w:hAnsi="Arial Narrow" w:eastAsia="仿宋_GB2312"/>
      <w:b/>
      <w:sz w:val="24"/>
    </w:rPr>
  </w:style>
  <w:style w:type="paragraph" w:customStyle="1" w:styleId="7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71">
    <w:name w:val="样式 四号 行距: 固定值 26 磅"/>
    <w:basedOn w:val="1"/>
    <w:qFormat/>
    <w:uiPriority w:val="0"/>
    <w:pPr>
      <w:adjustRightInd/>
      <w:spacing w:line="500" w:lineRule="exact"/>
      <w:ind w:firstLine="480"/>
    </w:pPr>
    <w:rPr>
      <w:rFonts w:ascii="宋体" w:hAnsi="宋体" w:eastAsia="宋体"/>
      <w:sz w:val="24"/>
      <w:szCs w:val="24"/>
    </w:rPr>
  </w:style>
  <w:style w:type="paragraph" w:styleId="72">
    <w:name w:val="No Spacing"/>
    <w:next w:val="1"/>
    <w:qFormat/>
    <w:uiPriority w:val="0"/>
    <w:pPr>
      <w:widowControl w:val="0"/>
      <w:adjustRightInd w:val="0"/>
      <w:snapToGrid w:val="0"/>
      <w:spacing w:beforeLines="50" w:line="360" w:lineRule="auto"/>
      <w:jc w:val="center"/>
    </w:pPr>
    <w:rPr>
      <w:rFonts w:ascii="Times New Roman" w:hAnsi="Times New Roman" w:eastAsia="宋体" w:cs="Times New Roman"/>
      <w:b/>
      <w:kern w:val="2"/>
      <w:sz w:val="21"/>
      <w:lang w:val="en-US" w:eastAsia="zh-CN" w:bidi="ar-SA"/>
    </w:rPr>
  </w:style>
  <w:style w:type="character" w:customStyle="1" w:styleId="73">
    <w:name w:val="纯文本 Char"/>
    <w:basedOn w:val="42"/>
    <w:semiHidden/>
    <w:qFormat/>
    <w:uiPriority w:val="99"/>
    <w:rPr>
      <w:rFonts w:ascii="宋体" w:hAnsi="Courier New" w:cs="Courier New"/>
      <w:kern w:val="2"/>
      <w:sz w:val="21"/>
      <w:szCs w:val="21"/>
    </w:rPr>
  </w:style>
  <w:style w:type="character" w:customStyle="1" w:styleId="74">
    <w:name w:val="纯文本 Char1"/>
    <w:basedOn w:val="42"/>
    <w:link w:val="22"/>
    <w:qFormat/>
    <w:uiPriority w:val="0"/>
    <w:rPr>
      <w:rFonts w:ascii="宋体" w:hAnsi="Courier New"/>
      <w:sz w:val="32"/>
      <w:szCs w:val="24"/>
    </w:rPr>
  </w:style>
  <w:style w:type="paragraph" w:customStyle="1" w:styleId="75">
    <w:name w:val="1、正文"/>
    <w:basedOn w:val="1"/>
    <w:link w:val="76"/>
    <w:qFormat/>
    <w:uiPriority w:val="0"/>
    <w:pPr>
      <w:adjustRightInd/>
      <w:snapToGrid/>
      <w:spacing w:line="500" w:lineRule="exact"/>
    </w:pPr>
    <w:rPr>
      <w:rFonts w:ascii="宋体" w:hAnsi="宋体" w:eastAsia="宋体"/>
      <w:sz w:val="24"/>
      <w:szCs w:val="24"/>
    </w:rPr>
  </w:style>
  <w:style w:type="character" w:customStyle="1" w:styleId="76">
    <w:name w:val="1、正文 Char"/>
    <w:basedOn w:val="42"/>
    <w:link w:val="75"/>
    <w:qFormat/>
    <w:uiPriority w:val="0"/>
    <w:rPr>
      <w:rFonts w:ascii="宋体" w:hAnsi="宋体"/>
      <w:kern w:val="2"/>
      <w:sz w:val="24"/>
      <w:szCs w:val="24"/>
    </w:rPr>
  </w:style>
  <w:style w:type="character" w:customStyle="1" w:styleId="77">
    <w:name w:val="批注文字 Char"/>
    <w:basedOn w:val="42"/>
    <w:link w:val="9"/>
    <w:semiHidden/>
    <w:qFormat/>
    <w:uiPriority w:val="99"/>
    <w:rPr>
      <w:rFonts w:ascii="Times New Roman" w:hAnsi="Times New Roman" w:eastAsiaTheme="minorEastAsia"/>
      <w:kern w:val="2"/>
      <w:sz w:val="26"/>
      <w:szCs w:val="22"/>
    </w:rPr>
  </w:style>
  <w:style w:type="character" w:customStyle="1" w:styleId="78">
    <w:name w:val="批注主题 Char"/>
    <w:basedOn w:val="77"/>
    <w:link w:val="8"/>
    <w:semiHidden/>
    <w:qFormat/>
    <w:uiPriority w:val="99"/>
    <w:rPr>
      <w:rFonts w:ascii="Times New Roman" w:hAnsi="Times New Roman" w:eastAsiaTheme="minorEastAsia"/>
      <w:b/>
      <w:bCs/>
      <w:kern w:val="2"/>
      <w:sz w:val="26"/>
      <w:szCs w:val="22"/>
    </w:rPr>
  </w:style>
  <w:style w:type="character" w:customStyle="1" w:styleId="79">
    <w:name w:val="标题 Char"/>
    <w:basedOn w:val="42"/>
    <w:link w:val="41"/>
    <w:qFormat/>
    <w:uiPriority w:val="10"/>
    <w:rPr>
      <w:rFonts w:asciiTheme="majorHAnsi" w:hAnsiTheme="majorHAnsi" w:eastAsiaTheme="minorEastAsia" w:cstheme="majorBidi"/>
      <w:bCs/>
      <w:kern w:val="2"/>
      <w:sz w:val="21"/>
      <w:szCs w:val="32"/>
    </w:rPr>
  </w:style>
  <w:style w:type="character" w:customStyle="1" w:styleId="80">
    <w:name w:val="正文文本缩进 2 Char"/>
    <w:basedOn w:val="42"/>
    <w:link w:val="26"/>
    <w:qFormat/>
    <w:uiPriority w:val="0"/>
    <w:rPr>
      <w:rFonts w:ascii="宋体" w:hAnsi="SnyderSpeed"/>
      <w:color w:val="0000FF"/>
      <w:kern w:val="2"/>
      <w:sz w:val="24"/>
      <w:szCs w:val="24"/>
    </w:rPr>
  </w:style>
  <w:style w:type="paragraph" w:customStyle="1" w:styleId="81">
    <w:name w:val="样式1"/>
    <w:basedOn w:val="6"/>
    <w:qFormat/>
    <w:uiPriority w:val="0"/>
    <w:pPr>
      <w:keepNext w:val="0"/>
      <w:keepLines w:val="0"/>
      <w:widowControl w:val="0"/>
      <w:adjustRightInd/>
      <w:snapToGrid/>
      <w:spacing w:beforeLines="0" w:afterLines="0" w:line="360" w:lineRule="exact"/>
      <w:ind w:firstLine="0" w:firstLineChars="0"/>
      <w:jc w:val="center"/>
      <w:outlineLvl w:val="9"/>
    </w:pPr>
    <w:rPr>
      <w:rFonts w:ascii="宋体" w:hAnsi="宋体" w:eastAsia="宋体"/>
      <w:bCs w:val="0"/>
      <w:color w:val="000000"/>
      <w:kern w:val="2"/>
      <w:sz w:val="21"/>
      <w:szCs w:val="24"/>
    </w:rPr>
  </w:style>
  <w:style w:type="paragraph" w:customStyle="1" w:styleId="82">
    <w:name w:val="表内式样"/>
    <w:qFormat/>
    <w:uiPriority w:val="0"/>
    <w:pPr>
      <w:widowControl w:val="0"/>
      <w:spacing w:line="500" w:lineRule="exact"/>
      <w:jc w:val="center"/>
    </w:pPr>
    <w:rPr>
      <w:rFonts w:ascii="Times New Roman" w:hAnsi="Times New Roman" w:eastAsia="宋体" w:cs="Times New Roman"/>
      <w:color w:val="000000"/>
      <w:kern w:val="2"/>
      <w:sz w:val="21"/>
      <w:szCs w:val="24"/>
      <w:lang w:val="en-US" w:eastAsia="zh-CN" w:bidi="ar-SA"/>
    </w:rPr>
  </w:style>
  <w:style w:type="paragraph" w:customStyle="1" w:styleId="83">
    <w:name w:val="流程文字"/>
    <w:basedOn w:val="1"/>
    <w:qFormat/>
    <w:uiPriority w:val="0"/>
    <w:pPr>
      <w:tabs>
        <w:tab w:val="left" w:pos="6480"/>
      </w:tabs>
      <w:topLinePunct/>
      <w:spacing w:line="240" w:lineRule="auto"/>
      <w:jc w:val="center"/>
    </w:pPr>
    <w:rPr>
      <w:rFonts w:eastAsia="仿宋_GB2312"/>
      <w:sz w:val="21"/>
      <w:szCs w:val="20"/>
    </w:rPr>
  </w:style>
  <w:style w:type="paragraph" w:customStyle="1" w:styleId="84">
    <w:name w:val="表格正文"/>
    <w:basedOn w:val="1"/>
    <w:qFormat/>
    <w:uiPriority w:val="0"/>
    <w:pPr>
      <w:adjustRightInd/>
      <w:snapToGrid/>
      <w:spacing w:line="360" w:lineRule="exact"/>
      <w:jc w:val="center"/>
    </w:pPr>
    <w:rPr>
      <w:rFonts w:eastAsia="宋体"/>
      <w:sz w:val="21"/>
      <w:szCs w:val="24"/>
    </w:rPr>
  </w:style>
  <w:style w:type="character" w:customStyle="1" w:styleId="85">
    <w:name w:val="HTML 预设格式 Char"/>
    <w:link w:val="39"/>
    <w:qFormat/>
    <w:uiPriority w:val="0"/>
    <w:rPr>
      <w:rFonts w:ascii="宋体" w:hAnsi="宋体"/>
      <w:sz w:val="24"/>
      <w:szCs w:val="24"/>
    </w:rPr>
  </w:style>
  <w:style w:type="character" w:customStyle="1" w:styleId="86">
    <w:name w:val="HTML 预设格式 Char1"/>
    <w:basedOn w:val="42"/>
    <w:semiHidden/>
    <w:qFormat/>
    <w:uiPriority w:val="99"/>
    <w:rPr>
      <w:rFonts w:ascii="Courier New" w:hAnsi="Courier New" w:cs="Courier New" w:eastAsiaTheme="minorEastAsia"/>
      <w:kern w:val="2"/>
    </w:rPr>
  </w:style>
  <w:style w:type="paragraph" w:customStyle="1" w:styleId="87">
    <w:name w:val="表格填充1"/>
    <w:basedOn w:val="1"/>
    <w:qFormat/>
    <w:uiPriority w:val="0"/>
    <w:pPr>
      <w:spacing w:line="400" w:lineRule="exact"/>
      <w:jc w:val="center"/>
    </w:pPr>
    <w:rPr>
      <w:rFonts w:eastAsia="宋体"/>
      <w:snapToGrid w:val="0"/>
      <w:sz w:val="21"/>
      <w:szCs w:val="18"/>
    </w:rPr>
  </w:style>
  <w:style w:type="paragraph" w:customStyle="1" w:styleId="88">
    <w:name w:val="表格内容"/>
    <w:basedOn w:val="1"/>
    <w:link w:val="89"/>
    <w:qFormat/>
    <w:uiPriority w:val="0"/>
    <w:pPr>
      <w:overflowPunct w:val="0"/>
      <w:snapToGrid/>
      <w:spacing w:before="40" w:after="60" w:line="200" w:lineRule="atLeast"/>
      <w:textAlignment w:val="baseline"/>
    </w:pPr>
    <w:rPr>
      <w:rFonts w:ascii="Arial" w:hAnsi="Arial" w:eastAsia="仿宋_GB2312"/>
      <w:kern w:val="0"/>
      <w:sz w:val="24"/>
      <w:szCs w:val="20"/>
    </w:rPr>
  </w:style>
  <w:style w:type="character" w:customStyle="1" w:styleId="89">
    <w:name w:val="表格内容 Char"/>
    <w:link w:val="88"/>
    <w:qFormat/>
    <w:uiPriority w:val="0"/>
    <w:rPr>
      <w:rFonts w:ascii="Arial" w:hAnsi="Arial" w:eastAsia="仿宋_GB2312"/>
      <w:sz w:val="24"/>
    </w:rPr>
  </w:style>
  <w:style w:type="paragraph" w:customStyle="1" w:styleId="90">
    <w:name w:val="表标题"/>
    <w:basedOn w:val="11"/>
    <w:qFormat/>
    <w:uiPriority w:val="0"/>
    <w:pPr>
      <w:spacing w:before="60" w:after="60" w:line="500" w:lineRule="exact"/>
      <w:ind w:firstLine="0" w:firstLineChars="0"/>
      <w:jc w:val="center"/>
    </w:pPr>
    <w:rPr>
      <w:b/>
      <w:bCs/>
      <w:sz w:val="24"/>
      <w:szCs w:val="18"/>
    </w:rPr>
  </w:style>
  <w:style w:type="character" w:customStyle="1" w:styleId="91">
    <w:name w:val="正文首行缩进 Char"/>
    <w:basedOn w:val="69"/>
    <w:link w:val="11"/>
    <w:semiHidden/>
    <w:qFormat/>
    <w:uiPriority w:val="99"/>
    <w:rPr>
      <w:rFonts w:ascii="Times New Roman" w:hAnsi="Times New Roman" w:eastAsia="仿宋_GB2312"/>
      <w:b w:val="0"/>
      <w:kern w:val="2"/>
      <w:sz w:val="26"/>
      <w:szCs w:val="22"/>
    </w:rPr>
  </w:style>
  <w:style w:type="character" w:customStyle="1" w:styleId="92">
    <w:name w:val="正文缩进 Char1"/>
    <w:basedOn w:val="42"/>
    <w:link w:val="14"/>
    <w:qFormat/>
    <w:uiPriority w:val="0"/>
    <w:rPr>
      <w:rFonts w:ascii="Times New Roman" w:hAnsi="Times New Roman"/>
      <w:kern w:val="2"/>
      <w:sz w:val="21"/>
    </w:rPr>
  </w:style>
  <w:style w:type="character" w:customStyle="1" w:styleId="93">
    <w:name w:val="正文文本缩进 Char"/>
    <w:basedOn w:val="42"/>
    <w:link w:val="18"/>
    <w:semiHidden/>
    <w:qFormat/>
    <w:uiPriority w:val="99"/>
    <w:rPr>
      <w:rFonts w:ascii="Times New Roman" w:hAnsi="Times New Roman" w:eastAsiaTheme="minorEastAsia"/>
      <w:kern w:val="2"/>
      <w:sz w:val="26"/>
      <w:szCs w:val="22"/>
    </w:rPr>
  </w:style>
  <w:style w:type="paragraph" w:customStyle="1" w:styleId="94">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table" w:customStyle="1" w:styleId="95">
    <w:name w:val="网格型1"/>
    <w:basedOn w:val="47"/>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6">
    <w:name w:val="网格型2"/>
    <w:basedOn w:val="47"/>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7">
    <w:name w:val="样式2"/>
    <w:basedOn w:val="29"/>
    <w:qFormat/>
    <w:uiPriority w:val="0"/>
    <w:pPr>
      <w:pBdr>
        <w:bottom w:val="none" w:color="auto" w:sz="0" w:space="0"/>
      </w:pBdr>
      <w:ind w:firstLine="360"/>
    </w:pPr>
  </w:style>
  <w:style w:type="paragraph" w:customStyle="1" w:styleId="98">
    <w:name w:val="样式3"/>
    <w:basedOn w:val="29"/>
    <w:qFormat/>
    <w:uiPriority w:val="0"/>
    <w:pPr>
      <w:pBdr>
        <w:bottom w:val="none" w:color="auto" w:sz="0" w:space="0"/>
      </w:pBdr>
      <w:ind w:firstLine="360"/>
    </w:pPr>
  </w:style>
  <w:style w:type="paragraph" w:customStyle="1" w:styleId="99">
    <w:name w:val="样式4"/>
    <w:basedOn w:val="29"/>
    <w:qFormat/>
    <w:uiPriority w:val="0"/>
    <w:pPr>
      <w:pBdr>
        <w:bottom w:val="none" w:color="auto" w:sz="0" w:space="0"/>
      </w:pBdr>
      <w:ind w:firstLine="360"/>
    </w:pPr>
  </w:style>
  <w:style w:type="paragraph" w:customStyle="1" w:styleId="100">
    <w:name w:val="样式5"/>
    <w:basedOn w:val="29"/>
    <w:qFormat/>
    <w:uiPriority w:val="0"/>
    <w:pPr>
      <w:pBdr>
        <w:bottom w:val="none" w:color="auto" w:sz="0" w:space="0"/>
      </w:pBdr>
      <w:ind w:firstLine="360"/>
    </w:pPr>
  </w:style>
  <w:style w:type="paragraph" w:customStyle="1" w:styleId="101">
    <w:name w:val="样式6"/>
    <w:basedOn w:val="29"/>
    <w:qFormat/>
    <w:uiPriority w:val="0"/>
    <w:pPr>
      <w:pBdr>
        <w:bottom w:val="none" w:color="auto" w:sz="0" w:space="0"/>
      </w:pBdr>
      <w:ind w:firstLine="360"/>
    </w:pPr>
  </w:style>
  <w:style w:type="paragraph" w:customStyle="1" w:styleId="102">
    <w:name w:val="样式7"/>
    <w:basedOn w:val="29"/>
    <w:qFormat/>
    <w:uiPriority w:val="0"/>
    <w:pPr>
      <w:pBdr>
        <w:bottom w:val="none" w:color="auto" w:sz="0" w:space="0"/>
      </w:pBdr>
      <w:ind w:firstLine="360"/>
    </w:pPr>
  </w:style>
  <w:style w:type="paragraph" w:customStyle="1" w:styleId="103">
    <w:name w:val="样式8"/>
    <w:basedOn w:val="97"/>
    <w:qFormat/>
    <w:uiPriority w:val="0"/>
    <w:pPr>
      <w:pBdr>
        <w:bottom w:val="single" w:color="auto" w:sz="4" w:space="1"/>
      </w:pBdr>
    </w:pPr>
  </w:style>
  <w:style w:type="paragraph" w:customStyle="1" w:styleId="104">
    <w:name w:val="样式9"/>
    <w:basedOn w:val="97"/>
    <w:qFormat/>
    <w:uiPriority w:val="0"/>
    <w:pPr>
      <w:pBdr>
        <w:bottom w:val="single" w:color="auto" w:sz="4" w:space="1"/>
      </w:pBdr>
    </w:pPr>
  </w:style>
  <w:style w:type="paragraph" w:customStyle="1" w:styleId="105">
    <w:name w:val="样式10"/>
    <w:basedOn w:val="97"/>
    <w:qFormat/>
    <w:uiPriority w:val="0"/>
    <w:pPr>
      <w:pBdr>
        <w:bottom w:val="single" w:color="auto" w:sz="4" w:space="1"/>
      </w:pBdr>
    </w:pPr>
  </w:style>
  <w:style w:type="paragraph" w:customStyle="1" w:styleId="106">
    <w:name w:val="TOC Heading"/>
    <w:basedOn w:val="2"/>
    <w:next w:val="1"/>
    <w:semiHidden/>
    <w:unhideWhenUsed/>
    <w:qFormat/>
    <w:uiPriority w:val="39"/>
    <w:pPr>
      <w:adjustRightInd/>
      <w:snapToGrid/>
      <w:spacing w:beforeLines="0" w:afterLines="0" w:line="276" w:lineRule="auto"/>
      <w:outlineLvl w:val="9"/>
    </w:pPr>
    <w:rPr>
      <w:rFonts w:asciiTheme="majorHAnsi" w:hAnsiTheme="majorHAnsi" w:eastAsiaTheme="majorEastAsia" w:cstheme="majorBidi"/>
      <w:color w:val="366091" w:themeColor="accent1" w:themeShade="BF"/>
      <w:kern w:val="0"/>
      <w:sz w:val="28"/>
      <w:szCs w:val="28"/>
    </w:rPr>
  </w:style>
  <w:style w:type="paragraph" w:customStyle="1" w:styleId="107">
    <w:name w:val="样式11"/>
    <w:basedOn w:val="29"/>
    <w:qFormat/>
    <w:uiPriority w:val="0"/>
    <w:pPr>
      <w:pBdr>
        <w:bottom w:val="none" w:color="auto" w:sz="0" w:space="0"/>
      </w:pBdr>
      <w:ind w:firstLine="360"/>
    </w:pPr>
  </w:style>
  <w:style w:type="character" w:customStyle="1" w:styleId="108">
    <w:name w:val="日期 Char"/>
    <w:basedOn w:val="42"/>
    <w:link w:val="25"/>
    <w:semiHidden/>
    <w:qFormat/>
    <w:uiPriority w:val="99"/>
    <w:rPr>
      <w:rFonts w:ascii="Times New Roman" w:hAnsi="Times New Roman" w:eastAsiaTheme="minorEastAsia"/>
      <w:kern w:val="2"/>
      <w:sz w:val="26"/>
      <w:szCs w:val="22"/>
    </w:rPr>
  </w:style>
  <w:style w:type="paragraph" w:customStyle="1" w:styleId="109">
    <w:name w:val="样式12"/>
    <w:basedOn w:val="29"/>
    <w:qFormat/>
    <w:uiPriority w:val="0"/>
    <w:pPr>
      <w:pBdr>
        <w:bottom w:val="none" w:color="auto" w:sz="0" w:space="0"/>
      </w:pBdr>
      <w:ind w:firstLine="360"/>
    </w:pPr>
  </w:style>
  <w:style w:type="paragraph" w:customStyle="1" w:styleId="110">
    <w:name w:val="样式13"/>
    <w:basedOn w:val="29"/>
    <w:qFormat/>
    <w:uiPriority w:val="0"/>
    <w:pPr>
      <w:pBdr>
        <w:bottom w:val="none" w:color="auto" w:sz="0" w:space="0"/>
      </w:pBdr>
      <w:ind w:firstLine="360"/>
    </w:pPr>
  </w:style>
  <w:style w:type="paragraph" w:customStyle="1" w:styleId="111">
    <w:name w:val="样式14"/>
    <w:basedOn w:val="29"/>
    <w:qFormat/>
    <w:uiPriority w:val="0"/>
    <w:pPr>
      <w:pBdr>
        <w:bottom w:val="none" w:color="auto" w:sz="0" w:space="0"/>
      </w:pBdr>
      <w:ind w:firstLine="360"/>
    </w:pPr>
  </w:style>
  <w:style w:type="paragraph" w:customStyle="1" w:styleId="112">
    <w:name w:val="样式15"/>
    <w:basedOn w:val="28"/>
    <w:qFormat/>
    <w:uiPriority w:val="0"/>
    <w:pPr>
      <w:pBdr>
        <w:top w:val="single" w:color="auto" w:sz="6" w:space="1"/>
      </w:pBdr>
      <w:wordWrap w:val="0"/>
      <w:ind w:firstLine="360"/>
      <w:jc w:val="right"/>
    </w:pPr>
  </w:style>
  <w:style w:type="paragraph" w:customStyle="1" w:styleId="113">
    <w:name w:val="样式16"/>
    <w:basedOn w:val="28"/>
    <w:qFormat/>
    <w:uiPriority w:val="0"/>
    <w:pPr>
      <w:pBdr>
        <w:top w:val="single" w:color="auto" w:sz="6" w:space="1"/>
      </w:pBdr>
      <w:wordWrap w:val="0"/>
      <w:ind w:firstLine="360"/>
      <w:jc w:val="right"/>
    </w:pPr>
  </w:style>
  <w:style w:type="paragraph" w:customStyle="1" w:styleId="114">
    <w:name w:val="样式17"/>
    <w:basedOn w:val="111"/>
    <w:qFormat/>
    <w:uiPriority w:val="0"/>
    <w:pPr>
      <w:ind w:firstLine="0"/>
    </w:pPr>
    <w:rPr>
      <w:kern w:val="0"/>
    </w:rPr>
  </w:style>
  <w:style w:type="paragraph" w:customStyle="1" w:styleId="115">
    <w:name w:val="样式18"/>
    <w:basedOn w:val="28"/>
    <w:qFormat/>
    <w:uiPriority w:val="0"/>
  </w:style>
  <w:style w:type="paragraph" w:customStyle="1" w:styleId="116">
    <w:name w:val="样式19"/>
    <w:basedOn w:val="28"/>
    <w:qFormat/>
    <w:uiPriority w:val="0"/>
    <w:pPr>
      <w:pBdr>
        <w:top w:val="single" w:color="auto" w:sz="4" w:space="1"/>
      </w:pBdr>
      <w:wordWrap w:val="0"/>
      <w:ind w:firstLine="360"/>
      <w:jc w:val="right"/>
    </w:pPr>
  </w:style>
  <w:style w:type="paragraph" w:customStyle="1" w:styleId="117">
    <w:name w:val="样式20"/>
    <w:basedOn w:val="28"/>
    <w:qFormat/>
    <w:uiPriority w:val="0"/>
    <w:pPr>
      <w:pBdr>
        <w:top w:val="single" w:color="auto" w:sz="4" w:space="1"/>
      </w:pBdr>
      <w:wordWrap w:val="0"/>
      <w:ind w:firstLine="360"/>
      <w:jc w:val="right"/>
    </w:pPr>
  </w:style>
  <w:style w:type="paragraph" w:customStyle="1" w:styleId="118">
    <w:name w:val="样式21"/>
    <w:basedOn w:val="28"/>
    <w:qFormat/>
    <w:uiPriority w:val="0"/>
    <w:pPr>
      <w:pBdr>
        <w:top w:val="single" w:color="auto" w:sz="4" w:space="1"/>
      </w:pBdr>
      <w:wordWrap w:val="0"/>
      <w:ind w:firstLine="360"/>
      <w:jc w:val="right"/>
    </w:pPr>
  </w:style>
  <w:style w:type="character" w:customStyle="1" w:styleId="119">
    <w:name w:val="正文文本_"/>
    <w:basedOn w:val="42"/>
    <w:link w:val="120"/>
    <w:uiPriority w:val="0"/>
    <w:rPr>
      <w:rFonts w:ascii="MingLiU" w:hAnsi="MingLiU" w:eastAsia="MingLiU" w:cs="MingLiU"/>
      <w:sz w:val="22"/>
      <w:szCs w:val="22"/>
      <w:shd w:val="clear" w:color="auto" w:fill="FFFFFF"/>
    </w:rPr>
  </w:style>
  <w:style w:type="paragraph" w:customStyle="1" w:styleId="120">
    <w:name w:val="正文文本1"/>
    <w:basedOn w:val="1"/>
    <w:link w:val="119"/>
    <w:qFormat/>
    <w:uiPriority w:val="0"/>
    <w:pPr>
      <w:shd w:val="clear" w:color="auto" w:fill="FFFFFF"/>
      <w:adjustRightInd/>
      <w:snapToGrid/>
      <w:spacing w:line="461" w:lineRule="exact"/>
      <w:jc w:val="distribute"/>
    </w:pPr>
    <w:rPr>
      <w:rFonts w:ascii="MingLiU" w:hAnsi="MingLiU" w:eastAsia="MingLiU" w:cs="MingLiU"/>
      <w:kern w:val="0"/>
      <w:sz w:val="22"/>
    </w:rPr>
  </w:style>
  <w:style w:type="character" w:customStyle="1" w:styleId="121">
    <w:name w:val="正文文本 + 9.5 pt"/>
    <w:basedOn w:val="119"/>
    <w:qFormat/>
    <w:uiPriority w:val="0"/>
    <w:rPr>
      <w:color w:val="000000"/>
      <w:spacing w:val="0"/>
      <w:w w:val="100"/>
      <w:position w:val="0"/>
      <w:sz w:val="19"/>
      <w:szCs w:val="19"/>
      <w:lang w:val="zh-TW"/>
    </w:rPr>
  </w:style>
  <w:style w:type="character" w:customStyle="1" w:styleId="122">
    <w:name w:val="正文文本 + Times New Roman"/>
    <w:basedOn w:val="119"/>
    <w:qFormat/>
    <w:uiPriority w:val="0"/>
    <w:rPr>
      <w:rFonts w:ascii="Times New Roman" w:hAnsi="Times New Roman" w:eastAsia="Times New Roman" w:cs="Times New Roman"/>
      <w:b/>
      <w:bCs/>
      <w:color w:val="000000"/>
      <w:spacing w:val="0"/>
      <w:w w:val="100"/>
      <w:position w:val="0"/>
      <w:sz w:val="20"/>
      <w:szCs w:val="20"/>
      <w:u w:val="none"/>
      <w:lang w:val="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6.jpeg"/><Relationship Id="rId54" Type="http://schemas.openxmlformats.org/officeDocument/2006/relationships/image" Target="media/image15.jpeg"/><Relationship Id="rId53" Type="http://schemas.openxmlformats.org/officeDocument/2006/relationships/image" Target="media/image14.jpeg"/><Relationship Id="rId52" Type="http://schemas.openxmlformats.org/officeDocument/2006/relationships/image" Target="media/image13.jpeg"/><Relationship Id="rId51" Type="http://schemas.openxmlformats.org/officeDocument/2006/relationships/image" Target="media/image12.jpeg"/><Relationship Id="rId50" Type="http://schemas.openxmlformats.org/officeDocument/2006/relationships/image" Target="media/image11.jpeg"/><Relationship Id="rId5" Type="http://schemas.openxmlformats.org/officeDocument/2006/relationships/footer" Target="footer1.xml"/><Relationship Id="rId49" Type="http://schemas.openxmlformats.org/officeDocument/2006/relationships/image" Target="media/image10.jpeg"/><Relationship Id="rId48" Type="http://schemas.openxmlformats.org/officeDocument/2006/relationships/image" Target="media/image9.jpe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emf"/><Relationship Id="rId43" Type="http://schemas.openxmlformats.org/officeDocument/2006/relationships/oleObject" Target="embeddings/oleObject1.bin"/><Relationship Id="rId42" Type="http://schemas.openxmlformats.org/officeDocument/2006/relationships/image" Target="media/image4.jpeg"/><Relationship Id="rId41" Type="http://schemas.openxmlformats.org/officeDocument/2006/relationships/image" Target="media/image3.jpeg"/><Relationship Id="rId40" Type="http://schemas.openxmlformats.org/officeDocument/2006/relationships/image" Target="media/image2.png"/><Relationship Id="rId4" Type="http://schemas.openxmlformats.org/officeDocument/2006/relationships/header" Target="header2.xml"/><Relationship Id="rId39" Type="http://schemas.openxmlformats.org/officeDocument/2006/relationships/image" Target="media/image1.jpeg"/><Relationship Id="rId38" Type="http://schemas.openxmlformats.org/officeDocument/2006/relationships/theme" Target="theme/theme1.xml"/><Relationship Id="rId37" Type="http://schemas.openxmlformats.org/officeDocument/2006/relationships/header" Target="header12.xml"/><Relationship Id="rId36" Type="http://schemas.openxmlformats.org/officeDocument/2006/relationships/footer" Target="footer23.xml"/><Relationship Id="rId35" Type="http://schemas.openxmlformats.org/officeDocument/2006/relationships/footer" Target="footer22.xml"/><Relationship Id="rId34" Type="http://schemas.openxmlformats.org/officeDocument/2006/relationships/header" Target="header11.xml"/><Relationship Id="rId33" Type="http://schemas.openxmlformats.org/officeDocument/2006/relationships/header" Target="header10.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338"/>
    <customShpInfo spid="_x0000_s1337"/>
    <customShpInfo spid="_x0000_s1361"/>
    <customShpInfo spid="_x0000_s1360"/>
    <customShpInfo spid="_x0000_s1210"/>
    <customShpInfo spid="_x0000_s1363"/>
    <customShpInfo spid="_x0000_s1362"/>
    <customShpInfo spid="_x0000_s1355"/>
    <customShpInfo spid="_x0000_s1346"/>
    <customShpInfo spid="_x0000_s1347"/>
    <customShpInfo spid="_x0000_s1345"/>
    <customShpInfo spid="_x0000_s1364"/>
    <customShpInfo spid="_x0000_s1365"/>
    <customShpInfo spid="_x0000_s1348"/>
    <customShpInfo spid="_x0000_s1354"/>
    <customShpInfo spid="_x0000_s1353"/>
    <customShpInfo spid="_x0000_s1352"/>
    <customShpInfo spid="_x0000_s1344"/>
    <customShpInfo spid="_x0000_s1342"/>
    <customShpInfo spid="_x0000_s1183"/>
    <customShpInfo spid="_x0000_s13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6474A6-CA40-4101-A969-E4D4B42DEA9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49</Pages>
  <Words>4102</Words>
  <Characters>23386</Characters>
  <Lines>194</Lines>
  <Paragraphs>54</Paragraphs>
  <ScaleCrop>false</ScaleCrop>
  <LinksUpToDate>false</LinksUpToDate>
  <CharactersWithSpaces>27434</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2018-01-06T08:26:00Z</dcterms:created>
  <dc:creator>August5Rush</dc:creator>
  <cp:lastModifiedBy>立志成功</cp:lastModifiedBy>
  <cp:lastPrinted>2018-01-13T05:03:00Z</cp:lastPrinted>
  <dcterms:modified xsi:type="dcterms:W3CDTF">2018-02-09T06:30:13Z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